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E9C5C" w14:textId="77777777" w:rsidR="00AC7859" w:rsidRPr="003C4166" w:rsidRDefault="00AC7859" w:rsidP="001D7A0A">
      <w:pPr>
        <w:spacing w:after="0" w:line="240" w:lineRule="auto"/>
        <w:rPr>
          <w:rFonts w:ascii="Arial" w:hAnsi="Arial" w:cs="Arial"/>
          <w:color w:val="000000" w:themeColor="text1"/>
        </w:rPr>
      </w:pPr>
    </w:p>
    <w:p w14:paraId="02B35415" w14:textId="77777777" w:rsidR="00374EEC" w:rsidRPr="003C4166" w:rsidRDefault="00374EEC" w:rsidP="00A9250D">
      <w:pPr>
        <w:adjustRightInd w:val="0"/>
        <w:spacing w:after="57"/>
        <w:contextualSpacing/>
        <w:jc w:val="both"/>
        <w:textAlignment w:val="center"/>
        <w:rPr>
          <w:rFonts w:ascii="Arial" w:hAnsi="Arial" w:cs="Arial"/>
          <w:b/>
          <w:color w:val="000000" w:themeColor="text1"/>
        </w:rPr>
      </w:pPr>
    </w:p>
    <w:p w14:paraId="48F15A5A" w14:textId="550C27A6" w:rsidR="00A9250D" w:rsidRPr="003C4166" w:rsidRDefault="00A9250D" w:rsidP="00A9250D">
      <w:pPr>
        <w:adjustRightInd w:val="0"/>
        <w:spacing w:after="57"/>
        <w:contextualSpacing/>
        <w:jc w:val="both"/>
        <w:textAlignment w:val="center"/>
        <w:rPr>
          <w:rFonts w:ascii="Arial" w:eastAsia="Times New Roman" w:hAnsi="Arial" w:cs="Arial"/>
          <w:b/>
          <w:bCs/>
          <w:color w:val="000000" w:themeColor="text1"/>
          <w:lang w:eastAsia="es-CO"/>
        </w:rPr>
      </w:pPr>
      <w:r w:rsidRPr="003C4166">
        <w:rPr>
          <w:rFonts w:ascii="Arial" w:hAnsi="Arial" w:cs="Arial"/>
          <w:b/>
          <w:color w:val="000000" w:themeColor="text1"/>
        </w:rPr>
        <w:t>INFORME DE PONENCIA PARA SEGUNDO DE</w:t>
      </w:r>
      <w:r w:rsidR="00B439E1" w:rsidRPr="003C4166">
        <w:rPr>
          <w:rFonts w:ascii="Arial" w:hAnsi="Arial" w:cs="Arial"/>
          <w:b/>
          <w:color w:val="000000" w:themeColor="text1"/>
        </w:rPr>
        <w:t>BATE DEL PROYECTO DE LEY NO. 017 DE 2021</w:t>
      </w:r>
      <w:r w:rsidRPr="003C4166">
        <w:rPr>
          <w:rFonts w:ascii="Arial" w:hAnsi="Arial" w:cs="Arial"/>
          <w:b/>
          <w:color w:val="000000" w:themeColor="text1"/>
        </w:rPr>
        <w:t xml:space="preserve"> CÁMARA </w:t>
      </w:r>
      <w:r w:rsidR="00B55166" w:rsidRPr="003C4166">
        <w:rPr>
          <w:rFonts w:ascii="Arial" w:hAnsi="Arial" w:cs="Arial"/>
          <w:b/>
          <w:color w:val="000000" w:themeColor="text1"/>
        </w:rPr>
        <w:t>POR MEDIO DEL CUAL SE ESTABLECEN MEDIDAS QUE PROTEJAN EL DERECHO A LA INTIMIDAD DE LOS CONSUMIDORES FINANCIEROS”</w:t>
      </w:r>
    </w:p>
    <w:p w14:paraId="6E23FBDE" w14:textId="77777777" w:rsidR="00AC7859" w:rsidRPr="003C4166" w:rsidRDefault="00AC7859" w:rsidP="001D7A0A">
      <w:pPr>
        <w:pStyle w:val="Sinespaciado"/>
        <w:rPr>
          <w:rFonts w:ascii="Arial" w:hAnsi="Arial" w:cs="Arial"/>
          <w:color w:val="000000" w:themeColor="text1"/>
        </w:rPr>
      </w:pPr>
    </w:p>
    <w:p w14:paraId="7582774B" w14:textId="77777777" w:rsidR="00AC7859" w:rsidRPr="003C4166" w:rsidRDefault="00375339" w:rsidP="001D7A0A">
      <w:pPr>
        <w:pStyle w:val="Sinespaciado"/>
        <w:rPr>
          <w:rFonts w:ascii="Arial" w:hAnsi="Arial" w:cs="Arial"/>
          <w:color w:val="000000" w:themeColor="text1"/>
        </w:rPr>
      </w:pPr>
      <w:r w:rsidRPr="003C4166">
        <w:rPr>
          <w:rFonts w:ascii="Arial" w:hAnsi="Arial" w:cs="Arial"/>
          <w:color w:val="000000" w:themeColor="text1"/>
        </w:rPr>
        <w:t>Doctor</w:t>
      </w:r>
      <w:r w:rsidR="00AC7859" w:rsidRPr="003C4166">
        <w:rPr>
          <w:rFonts w:ascii="Arial" w:hAnsi="Arial" w:cs="Arial"/>
          <w:color w:val="000000" w:themeColor="text1"/>
        </w:rPr>
        <w:t xml:space="preserve"> </w:t>
      </w:r>
    </w:p>
    <w:p w14:paraId="29277DFF" w14:textId="67CB7161" w:rsidR="00AC7859" w:rsidRPr="003C4166" w:rsidRDefault="00074256" w:rsidP="001D7A0A">
      <w:pPr>
        <w:pStyle w:val="Sinespaciado"/>
        <w:rPr>
          <w:rFonts w:ascii="Arial" w:hAnsi="Arial" w:cs="Arial"/>
          <w:b/>
          <w:color w:val="000000" w:themeColor="text1"/>
        </w:rPr>
      </w:pPr>
      <w:r w:rsidRPr="003C4166">
        <w:rPr>
          <w:rFonts w:ascii="Arial" w:hAnsi="Arial" w:cs="Arial"/>
          <w:b/>
          <w:color w:val="000000" w:themeColor="text1"/>
        </w:rPr>
        <w:t>JULIO CÉSAR TRIANA QUINTERO</w:t>
      </w:r>
    </w:p>
    <w:p w14:paraId="6B195BF4" w14:textId="6F8A3F6D" w:rsidR="00AC7859" w:rsidRPr="003C4166" w:rsidRDefault="00763A08" w:rsidP="001D7A0A">
      <w:pPr>
        <w:pStyle w:val="Sinespaciado"/>
        <w:rPr>
          <w:rFonts w:ascii="Arial" w:hAnsi="Arial" w:cs="Arial"/>
          <w:color w:val="000000" w:themeColor="text1"/>
        </w:rPr>
      </w:pPr>
      <w:r w:rsidRPr="003C4166">
        <w:rPr>
          <w:rFonts w:ascii="Arial" w:hAnsi="Arial" w:cs="Arial"/>
          <w:color w:val="000000" w:themeColor="text1"/>
        </w:rPr>
        <w:t xml:space="preserve">Presidente de la Honorable </w:t>
      </w:r>
      <w:r w:rsidR="00074256" w:rsidRPr="003C4166">
        <w:rPr>
          <w:rFonts w:ascii="Arial" w:hAnsi="Arial" w:cs="Arial"/>
          <w:color w:val="000000" w:themeColor="text1"/>
        </w:rPr>
        <w:t>Comisión Primera</w:t>
      </w:r>
    </w:p>
    <w:p w14:paraId="46E981F2" w14:textId="77777777" w:rsidR="00AC7859" w:rsidRPr="003C4166" w:rsidRDefault="00AC7859" w:rsidP="001D7A0A">
      <w:pPr>
        <w:pStyle w:val="Sinespaciado"/>
        <w:rPr>
          <w:rFonts w:ascii="Arial" w:hAnsi="Arial" w:cs="Arial"/>
          <w:color w:val="000000" w:themeColor="text1"/>
        </w:rPr>
      </w:pPr>
      <w:r w:rsidRPr="003C4166">
        <w:rPr>
          <w:rFonts w:ascii="Arial" w:hAnsi="Arial" w:cs="Arial"/>
          <w:color w:val="000000" w:themeColor="text1"/>
        </w:rPr>
        <w:t>Cámara de Representantes</w:t>
      </w:r>
    </w:p>
    <w:p w14:paraId="072B06BF" w14:textId="77777777" w:rsidR="00AC7859" w:rsidRPr="003C4166" w:rsidRDefault="00AC7859" w:rsidP="001D7A0A">
      <w:pPr>
        <w:pStyle w:val="Sinespaciado"/>
        <w:rPr>
          <w:rFonts w:ascii="Arial" w:hAnsi="Arial" w:cs="Arial"/>
          <w:color w:val="000000" w:themeColor="text1"/>
        </w:rPr>
      </w:pPr>
      <w:r w:rsidRPr="003C4166">
        <w:rPr>
          <w:rFonts w:ascii="Arial" w:hAnsi="Arial" w:cs="Arial"/>
          <w:color w:val="000000" w:themeColor="text1"/>
        </w:rPr>
        <w:t>Ciudad</w:t>
      </w:r>
      <w:r w:rsidR="00A9250D" w:rsidRPr="003C4166">
        <w:rPr>
          <w:rFonts w:ascii="Arial" w:hAnsi="Arial" w:cs="Arial"/>
          <w:color w:val="000000" w:themeColor="text1"/>
        </w:rPr>
        <w:t>.</w:t>
      </w:r>
      <w:r w:rsidRPr="003C4166">
        <w:rPr>
          <w:rFonts w:ascii="Arial" w:hAnsi="Arial" w:cs="Arial"/>
          <w:color w:val="000000" w:themeColor="text1"/>
        </w:rPr>
        <w:t xml:space="preserve"> </w:t>
      </w:r>
    </w:p>
    <w:p w14:paraId="18AE7B19" w14:textId="77777777" w:rsidR="00AC7859" w:rsidRPr="003C4166" w:rsidRDefault="00AC7859" w:rsidP="001D7A0A">
      <w:pPr>
        <w:pStyle w:val="Sinespaciado"/>
        <w:rPr>
          <w:rFonts w:ascii="Arial" w:hAnsi="Arial" w:cs="Arial"/>
          <w:color w:val="000000" w:themeColor="text1"/>
        </w:rPr>
      </w:pPr>
    </w:p>
    <w:p w14:paraId="78B519E9" w14:textId="7ECA373B" w:rsidR="00204B10" w:rsidRPr="003C4166" w:rsidRDefault="00AC7859" w:rsidP="00A9250D">
      <w:pPr>
        <w:adjustRightInd w:val="0"/>
        <w:spacing w:after="57"/>
        <w:ind w:left="4248"/>
        <w:contextualSpacing/>
        <w:jc w:val="both"/>
        <w:textAlignment w:val="center"/>
        <w:rPr>
          <w:rFonts w:ascii="Arial" w:eastAsia="Times New Roman" w:hAnsi="Arial" w:cs="Arial"/>
          <w:b/>
          <w:bCs/>
          <w:color w:val="000000" w:themeColor="text1"/>
          <w:lang w:eastAsia="es-CO"/>
        </w:rPr>
      </w:pPr>
      <w:r w:rsidRPr="003C4166">
        <w:rPr>
          <w:rFonts w:ascii="Arial" w:hAnsi="Arial" w:cs="Arial"/>
          <w:b/>
          <w:color w:val="000000" w:themeColor="text1"/>
        </w:rPr>
        <w:t>Asunto:</w:t>
      </w:r>
      <w:r w:rsidR="00204B10" w:rsidRPr="003C4166">
        <w:rPr>
          <w:rFonts w:ascii="Arial" w:hAnsi="Arial" w:cs="Arial"/>
          <w:color w:val="000000" w:themeColor="text1"/>
        </w:rPr>
        <w:t xml:space="preserve"> Informe de ponencia para Segundo Debate </w:t>
      </w:r>
      <w:r w:rsidRPr="003C4166">
        <w:rPr>
          <w:rFonts w:ascii="Arial" w:hAnsi="Arial" w:cs="Arial"/>
          <w:color w:val="000000" w:themeColor="text1"/>
        </w:rPr>
        <w:t>del Proyecto</w:t>
      </w:r>
      <w:r w:rsidR="00B55166" w:rsidRPr="003C4166">
        <w:rPr>
          <w:rFonts w:ascii="Arial" w:hAnsi="Arial" w:cs="Arial"/>
          <w:color w:val="000000" w:themeColor="text1"/>
        </w:rPr>
        <w:t xml:space="preserve"> de Ley No. 017 de 2021</w:t>
      </w:r>
      <w:r w:rsidR="00A9250D" w:rsidRPr="003C4166">
        <w:rPr>
          <w:rFonts w:ascii="Arial" w:hAnsi="Arial" w:cs="Arial"/>
          <w:color w:val="000000" w:themeColor="text1"/>
        </w:rPr>
        <w:t xml:space="preserve"> Cámara </w:t>
      </w:r>
      <w:r w:rsidR="00B55166" w:rsidRPr="003C4166">
        <w:rPr>
          <w:rFonts w:ascii="Arial" w:hAnsi="Arial" w:cs="Arial"/>
          <w:b/>
          <w:color w:val="000000" w:themeColor="text1"/>
        </w:rPr>
        <w:t>POR MEDIO DEL CUAL SE ESTABLECEN MEDIDAS QUE PROTEJAN EL DERECHO A LA INTIMIDAD DE LOS CONSUMIDORES FINANCIEROS”</w:t>
      </w:r>
    </w:p>
    <w:p w14:paraId="56B009D0" w14:textId="77777777" w:rsidR="00AC7859" w:rsidRPr="003C4166" w:rsidRDefault="00AC7859" w:rsidP="001D7A0A">
      <w:pPr>
        <w:pStyle w:val="Sinespaciado"/>
        <w:ind w:left="3540"/>
        <w:jc w:val="both"/>
        <w:rPr>
          <w:rFonts w:ascii="Arial" w:hAnsi="Arial" w:cs="Arial"/>
          <w:color w:val="000000" w:themeColor="text1"/>
        </w:rPr>
      </w:pPr>
      <w:r w:rsidRPr="003C4166">
        <w:rPr>
          <w:rFonts w:ascii="Arial" w:hAnsi="Arial" w:cs="Arial"/>
          <w:bCs/>
          <w:color w:val="000000" w:themeColor="text1"/>
        </w:rPr>
        <w:t>”</w:t>
      </w:r>
      <w:r w:rsidRPr="003C4166">
        <w:rPr>
          <w:rFonts w:ascii="Arial" w:hAnsi="Arial" w:cs="Arial"/>
          <w:color w:val="000000" w:themeColor="text1"/>
        </w:rPr>
        <w:t xml:space="preserve"> </w:t>
      </w:r>
    </w:p>
    <w:p w14:paraId="3A75484E" w14:textId="77777777" w:rsidR="00AC7859" w:rsidRPr="003C4166" w:rsidRDefault="00AC7859" w:rsidP="001D7A0A">
      <w:pPr>
        <w:spacing w:after="0" w:line="240" w:lineRule="auto"/>
        <w:jc w:val="both"/>
        <w:rPr>
          <w:rFonts w:ascii="Arial" w:hAnsi="Arial" w:cs="Arial"/>
          <w:color w:val="000000" w:themeColor="text1"/>
        </w:rPr>
      </w:pPr>
    </w:p>
    <w:p w14:paraId="4063A6B6" w14:textId="77777777" w:rsidR="00AC7859" w:rsidRPr="003C4166" w:rsidRDefault="00B66052" w:rsidP="001D7A0A">
      <w:pPr>
        <w:spacing w:after="0" w:line="240" w:lineRule="auto"/>
        <w:jc w:val="both"/>
        <w:rPr>
          <w:rFonts w:ascii="Arial" w:hAnsi="Arial" w:cs="Arial"/>
          <w:color w:val="000000" w:themeColor="text1"/>
        </w:rPr>
      </w:pPr>
      <w:r w:rsidRPr="003C4166">
        <w:rPr>
          <w:rFonts w:ascii="Arial" w:hAnsi="Arial" w:cs="Arial"/>
          <w:color w:val="000000" w:themeColor="text1"/>
        </w:rPr>
        <w:t>Honorable Presidente</w:t>
      </w:r>
      <w:r w:rsidR="00AC7859" w:rsidRPr="003C4166">
        <w:rPr>
          <w:rFonts w:ascii="Arial" w:hAnsi="Arial" w:cs="Arial"/>
          <w:color w:val="000000" w:themeColor="text1"/>
        </w:rPr>
        <w:t>,</w:t>
      </w:r>
    </w:p>
    <w:p w14:paraId="49FF6DCE" w14:textId="77777777" w:rsidR="00AC7859" w:rsidRPr="003C4166" w:rsidRDefault="00AC7859" w:rsidP="001D7A0A">
      <w:pPr>
        <w:spacing w:after="0" w:line="240" w:lineRule="auto"/>
        <w:jc w:val="both"/>
        <w:rPr>
          <w:rFonts w:ascii="Arial" w:hAnsi="Arial" w:cs="Arial"/>
          <w:color w:val="000000" w:themeColor="text1"/>
        </w:rPr>
      </w:pPr>
    </w:p>
    <w:p w14:paraId="672461EF" w14:textId="262528D5" w:rsidR="00AC7859" w:rsidRPr="003C4166" w:rsidRDefault="000B31B4" w:rsidP="001D7A0A">
      <w:pPr>
        <w:spacing w:after="0" w:line="240" w:lineRule="auto"/>
        <w:jc w:val="both"/>
        <w:rPr>
          <w:rFonts w:ascii="Arial" w:hAnsi="Arial" w:cs="Arial"/>
          <w:color w:val="000000" w:themeColor="text1"/>
          <w:lang w:val="es-ES_tradnl"/>
        </w:rPr>
      </w:pPr>
      <w:r w:rsidRPr="003C4166">
        <w:rPr>
          <w:rFonts w:ascii="Arial" w:hAnsi="Arial" w:cs="Arial"/>
          <w:color w:val="000000" w:themeColor="text1"/>
          <w:lang w:val="es-ES_tradnl"/>
        </w:rPr>
        <w:t>En cumplimiento del encargo hecho</w:t>
      </w:r>
      <w:r w:rsidR="00AC7859" w:rsidRPr="003C4166">
        <w:rPr>
          <w:rFonts w:ascii="Arial" w:hAnsi="Arial" w:cs="Arial"/>
          <w:color w:val="000000" w:themeColor="text1"/>
          <w:lang w:val="es-ES_tradnl"/>
        </w:rPr>
        <w:t xml:space="preserve"> por la Mesa </w:t>
      </w:r>
      <w:r w:rsidR="00B55166" w:rsidRPr="003C4166">
        <w:rPr>
          <w:rFonts w:ascii="Arial" w:hAnsi="Arial" w:cs="Arial"/>
          <w:color w:val="000000" w:themeColor="text1"/>
          <w:lang w:val="es-ES_tradnl"/>
        </w:rPr>
        <w:t>Directiva de la Comisión Primera</w:t>
      </w:r>
      <w:r w:rsidR="00AC7859" w:rsidRPr="003C4166">
        <w:rPr>
          <w:rFonts w:ascii="Arial" w:hAnsi="Arial" w:cs="Arial"/>
          <w:color w:val="000000" w:themeColor="text1"/>
          <w:lang w:val="es-ES_tradnl"/>
        </w:rPr>
        <w:t xml:space="preserve"> Constitucional Permanente de la Honorable Cámara de Representantes </w:t>
      </w:r>
      <w:r w:rsidR="00B66052" w:rsidRPr="003C4166">
        <w:rPr>
          <w:rFonts w:ascii="Arial" w:hAnsi="Arial" w:cs="Arial"/>
          <w:color w:val="000000" w:themeColor="text1"/>
          <w:lang w:val="es-ES_tradnl"/>
        </w:rPr>
        <w:t xml:space="preserve">y de conformidad con </w:t>
      </w:r>
      <w:r w:rsidR="005F795E" w:rsidRPr="003C4166">
        <w:rPr>
          <w:rFonts w:ascii="Arial" w:hAnsi="Arial" w:cs="Arial"/>
          <w:color w:val="000000" w:themeColor="text1"/>
          <w:lang w:val="es-ES_tradnl"/>
        </w:rPr>
        <w:t xml:space="preserve">el artículo </w:t>
      </w:r>
      <w:r w:rsidR="00AC7859" w:rsidRPr="003C4166">
        <w:rPr>
          <w:rFonts w:ascii="Arial" w:hAnsi="Arial" w:cs="Arial"/>
          <w:color w:val="000000" w:themeColor="text1"/>
          <w:lang w:val="es-ES_tradnl"/>
        </w:rPr>
        <w:t xml:space="preserve">156 de la Ley 5° de 1992, </w:t>
      </w:r>
      <w:r w:rsidR="006725F9" w:rsidRPr="003C4166">
        <w:rPr>
          <w:rFonts w:ascii="Arial" w:hAnsi="Arial" w:cs="Arial"/>
          <w:color w:val="000000" w:themeColor="text1"/>
          <w:lang w:val="es-ES_tradnl"/>
        </w:rPr>
        <w:t>procedo a rendir informe de Ponencia para Segundo Debate</w:t>
      </w:r>
      <w:r w:rsidR="00B55166" w:rsidRPr="003C4166">
        <w:rPr>
          <w:rFonts w:ascii="Arial" w:hAnsi="Arial" w:cs="Arial"/>
          <w:color w:val="000000" w:themeColor="text1"/>
          <w:lang w:val="es-ES_tradnl"/>
        </w:rPr>
        <w:t xml:space="preserve"> </w:t>
      </w:r>
      <w:r w:rsidR="00B55166" w:rsidRPr="003C4166">
        <w:rPr>
          <w:rFonts w:ascii="Arial" w:hAnsi="Arial" w:cs="Arial"/>
          <w:color w:val="000000" w:themeColor="text1"/>
        </w:rPr>
        <w:t>del Proyecto de Ley No. 017 de 2021</w:t>
      </w:r>
      <w:r w:rsidRPr="003C4166">
        <w:rPr>
          <w:rFonts w:ascii="Arial" w:hAnsi="Arial" w:cs="Arial"/>
          <w:color w:val="000000" w:themeColor="text1"/>
        </w:rPr>
        <w:t xml:space="preserve"> Cámara </w:t>
      </w:r>
      <w:r w:rsidR="00B55166" w:rsidRPr="003C4166">
        <w:rPr>
          <w:rFonts w:ascii="Arial" w:hAnsi="Arial" w:cs="Arial"/>
          <w:b/>
          <w:color w:val="000000" w:themeColor="text1"/>
        </w:rPr>
        <w:t>POR MEDIO DEL CUAL SE ESTABLECEN MEDIDAS QUE PROTEJAN EL DERECHO A LA INTIMIDAD DE LOS CONSUMIDORES FINANCIEROS”</w:t>
      </w:r>
    </w:p>
    <w:p w14:paraId="79CDEF74" w14:textId="77777777" w:rsidR="001D7A0A" w:rsidRPr="003C4166" w:rsidRDefault="001D7A0A" w:rsidP="001D7A0A">
      <w:pPr>
        <w:spacing w:after="0" w:line="240" w:lineRule="auto"/>
        <w:jc w:val="both"/>
        <w:rPr>
          <w:rFonts w:ascii="Arial" w:hAnsi="Arial" w:cs="Arial"/>
          <w:color w:val="000000" w:themeColor="text1"/>
        </w:rPr>
      </w:pPr>
    </w:p>
    <w:p w14:paraId="6C6828FA" w14:textId="77777777" w:rsidR="00AC7859" w:rsidRPr="003C4166" w:rsidRDefault="00AC7859" w:rsidP="001D7A0A">
      <w:pPr>
        <w:spacing w:after="0" w:line="240" w:lineRule="auto"/>
        <w:jc w:val="both"/>
        <w:rPr>
          <w:rFonts w:ascii="Arial" w:hAnsi="Arial" w:cs="Arial"/>
          <w:color w:val="000000" w:themeColor="text1"/>
          <w:lang w:val="es-ES_tradnl"/>
        </w:rPr>
      </w:pPr>
    </w:p>
    <w:p w14:paraId="72F8F820" w14:textId="77777777" w:rsidR="00AC7859" w:rsidRPr="003C4166" w:rsidRDefault="00AC7859" w:rsidP="001D7A0A">
      <w:pPr>
        <w:spacing w:after="0" w:line="240" w:lineRule="auto"/>
        <w:jc w:val="both"/>
        <w:rPr>
          <w:rFonts w:ascii="Arial" w:hAnsi="Arial" w:cs="Arial"/>
          <w:color w:val="000000" w:themeColor="text1"/>
          <w:lang w:val="es-ES_tradnl"/>
        </w:rPr>
      </w:pPr>
      <w:r w:rsidRPr="003C4166">
        <w:rPr>
          <w:rFonts w:ascii="Arial" w:hAnsi="Arial" w:cs="Arial"/>
          <w:color w:val="000000" w:themeColor="text1"/>
          <w:lang w:val="es-ES_tradnl"/>
        </w:rPr>
        <w:t>Cordialmente,</w:t>
      </w:r>
    </w:p>
    <w:p w14:paraId="5453E6D3" w14:textId="77777777" w:rsidR="00AC7859" w:rsidRPr="003C4166" w:rsidRDefault="00AC7859" w:rsidP="001D7A0A">
      <w:pPr>
        <w:spacing w:after="0" w:line="240" w:lineRule="auto"/>
        <w:jc w:val="both"/>
        <w:rPr>
          <w:rFonts w:ascii="Arial" w:hAnsi="Arial" w:cs="Arial"/>
          <w:color w:val="000000" w:themeColor="text1"/>
          <w:lang w:val="es-ES_tradnl"/>
        </w:rPr>
      </w:pPr>
    </w:p>
    <w:p w14:paraId="31CB0897" w14:textId="77777777" w:rsidR="00AC7859" w:rsidRPr="003C4166" w:rsidRDefault="00AC7859" w:rsidP="001D7A0A">
      <w:pPr>
        <w:spacing w:after="0" w:line="240" w:lineRule="auto"/>
        <w:jc w:val="both"/>
        <w:rPr>
          <w:rFonts w:ascii="Arial" w:hAnsi="Arial" w:cs="Arial"/>
          <w:color w:val="000000" w:themeColor="text1"/>
          <w:lang w:val="es-ES_tradnl"/>
        </w:rPr>
      </w:pPr>
    </w:p>
    <w:p w14:paraId="19D12E72" w14:textId="77777777" w:rsidR="005A1DE2" w:rsidRPr="003C4166" w:rsidRDefault="005A1DE2" w:rsidP="001D7A0A">
      <w:pPr>
        <w:spacing w:after="0" w:line="240" w:lineRule="auto"/>
        <w:jc w:val="both"/>
        <w:rPr>
          <w:rFonts w:ascii="Arial" w:hAnsi="Arial" w:cs="Arial"/>
          <w:color w:val="000000" w:themeColor="text1"/>
          <w:lang w:val="es-ES_tradnl"/>
        </w:rPr>
      </w:pPr>
    </w:p>
    <w:p w14:paraId="08EF7860" w14:textId="77777777" w:rsidR="005A1DE2" w:rsidRPr="003C4166" w:rsidRDefault="005A1DE2" w:rsidP="001D7A0A">
      <w:pPr>
        <w:spacing w:after="0" w:line="240" w:lineRule="auto"/>
        <w:jc w:val="both"/>
        <w:rPr>
          <w:rFonts w:ascii="Arial" w:hAnsi="Arial" w:cs="Arial"/>
          <w:color w:val="000000" w:themeColor="text1"/>
          <w:lang w:val="es-ES_tradnl"/>
        </w:rPr>
      </w:pPr>
    </w:p>
    <w:p w14:paraId="55155DD3" w14:textId="77777777" w:rsidR="00AC7859" w:rsidRPr="003C4166" w:rsidRDefault="00AC7859" w:rsidP="001D7A0A">
      <w:pPr>
        <w:spacing w:after="0" w:line="240" w:lineRule="auto"/>
        <w:jc w:val="both"/>
        <w:rPr>
          <w:rFonts w:ascii="Arial" w:hAnsi="Arial" w:cs="Arial"/>
          <w:color w:val="000000" w:themeColor="text1"/>
          <w:lang w:val="es-ES_tradnl"/>
        </w:rPr>
      </w:pPr>
    </w:p>
    <w:p w14:paraId="0E0D1131" w14:textId="2198CB15" w:rsidR="00A771B9" w:rsidRPr="003C4166" w:rsidRDefault="00A771B9" w:rsidP="00A771B9">
      <w:pPr>
        <w:spacing w:after="0" w:line="240" w:lineRule="auto"/>
        <w:jc w:val="both"/>
        <w:rPr>
          <w:rFonts w:ascii="Arial" w:hAnsi="Arial" w:cs="Arial"/>
          <w:b/>
          <w:color w:val="000000" w:themeColor="text1"/>
          <w:lang w:val="es-ES_tradnl"/>
        </w:rPr>
      </w:pPr>
      <w:r w:rsidRPr="003C4166">
        <w:rPr>
          <w:rFonts w:ascii="Arial" w:hAnsi="Arial" w:cs="Arial"/>
          <w:b/>
          <w:color w:val="000000" w:themeColor="text1"/>
          <w:lang w:val="es-ES_tradnl"/>
        </w:rPr>
        <w:t>JUAN CARLOS WILLS OSPINA</w:t>
      </w:r>
      <w:r w:rsidRPr="003C4166">
        <w:rPr>
          <w:rFonts w:ascii="Arial" w:hAnsi="Arial" w:cs="Arial"/>
          <w:b/>
          <w:color w:val="000000" w:themeColor="text1"/>
          <w:lang w:val="es-ES_tradnl"/>
        </w:rPr>
        <w:tab/>
      </w:r>
      <w:r w:rsidRPr="003C4166">
        <w:rPr>
          <w:rFonts w:ascii="Arial" w:hAnsi="Arial" w:cs="Arial"/>
          <w:b/>
          <w:color w:val="000000" w:themeColor="text1"/>
          <w:lang w:val="es-ES_tradnl"/>
        </w:rPr>
        <w:tab/>
      </w:r>
      <w:r w:rsidR="00756437">
        <w:rPr>
          <w:rFonts w:ascii="Arial" w:hAnsi="Arial" w:cs="Arial"/>
          <w:b/>
          <w:color w:val="000000" w:themeColor="text1"/>
          <w:lang w:val="es-ES_tradnl"/>
        </w:rPr>
        <w:tab/>
        <w:t>CESAR AUGUS</w:t>
      </w:r>
      <w:r>
        <w:rPr>
          <w:rFonts w:ascii="Arial" w:hAnsi="Arial" w:cs="Arial"/>
          <w:b/>
          <w:color w:val="000000" w:themeColor="text1"/>
          <w:lang w:val="es-ES_tradnl"/>
        </w:rPr>
        <w:t>TO LORDUY</w:t>
      </w:r>
    </w:p>
    <w:p w14:paraId="26592DB7" w14:textId="77777777" w:rsidR="00A771B9" w:rsidRPr="003C4166" w:rsidRDefault="00A771B9" w:rsidP="00A771B9">
      <w:pPr>
        <w:spacing w:after="0" w:line="240" w:lineRule="auto"/>
        <w:jc w:val="both"/>
        <w:rPr>
          <w:rFonts w:ascii="Arial" w:hAnsi="Arial" w:cs="Arial"/>
          <w:color w:val="000000" w:themeColor="text1"/>
          <w:lang w:val="es-ES_tradnl"/>
        </w:rPr>
      </w:pPr>
      <w:r w:rsidRPr="003C4166">
        <w:rPr>
          <w:rFonts w:ascii="Arial" w:hAnsi="Arial" w:cs="Arial"/>
          <w:color w:val="000000" w:themeColor="text1"/>
          <w:lang w:val="es-ES_tradnl"/>
        </w:rPr>
        <w:t>Representante a la cámara</w:t>
      </w:r>
      <w:r w:rsidRPr="003C4166">
        <w:rPr>
          <w:rFonts w:ascii="Arial" w:hAnsi="Arial" w:cs="Arial"/>
          <w:color w:val="000000" w:themeColor="text1"/>
          <w:lang w:val="es-ES_tradnl"/>
        </w:rPr>
        <w:tab/>
        <w:t xml:space="preserve">                         </w:t>
      </w:r>
      <w:r>
        <w:rPr>
          <w:rFonts w:ascii="Arial" w:hAnsi="Arial" w:cs="Arial"/>
          <w:color w:val="000000" w:themeColor="text1"/>
          <w:lang w:val="es-ES_tradnl"/>
        </w:rPr>
        <w:tab/>
      </w:r>
      <w:r w:rsidRPr="003C4166">
        <w:rPr>
          <w:rFonts w:ascii="Arial" w:hAnsi="Arial" w:cs="Arial"/>
          <w:color w:val="000000" w:themeColor="text1"/>
          <w:lang w:val="es-ES_tradnl"/>
        </w:rPr>
        <w:t>Representante a la cámara</w:t>
      </w:r>
      <w:r w:rsidRPr="003C4166">
        <w:rPr>
          <w:rFonts w:ascii="Arial" w:hAnsi="Arial" w:cs="Arial"/>
          <w:color w:val="000000" w:themeColor="text1"/>
          <w:lang w:val="es-ES_tradnl"/>
        </w:rPr>
        <w:tab/>
        <w:t xml:space="preserve">          </w:t>
      </w:r>
    </w:p>
    <w:p w14:paraId="463B7FB3" w14:textId="77777777" w:rsidR="00A771B9" w:rsidRPr="003C4166" w:rsidRDefault="00A771B9" w:rsidP="00A771B9">
      <w:pPr>
        <w:tabs>
          <w:tab w:val="left" w:pos="708"/>
          <w:tab w:val="left" w:pos="1416"/>
          <w:tab w:val="left" w:pos="2124"/>
          <w:tab w:val="left" w:pos="2832"/>
          <w:tab w:val="left" w:pos="3540"/>
          <w:tab w:val="center" w:pos="4702"/>
        </w:tabs>
        <w:spacing w:after="0" w:line="240" w:lineRule="auto"/>
        <w:jc w:val="both"/>
        <w:rPr>
          <w:rFonts w:ascii="Arial" w:hAnsi="Arial" w:cs="Arial"/>
          <w:color w:val="000000" w:themeColor="text1"/>
          <w:lang w:val="es-ES_tradnl"/>
        </w:rPr>
      </w:pPr>
      <w:r w:rsidRPr="003C4166">
        <w:rPr>
          <w:rFonts w:ascii="Arial" w:hAnsi="Arial" w:cs="Arial"/>
          <w:color w:val="000000" w:themeColor="text1"/>
          <w:lang w:val="es-ES_tradnl"/>
        </w:rPr>
        <w:t>Ponente</w:t>
      </w:r>
      <w:r w:rsidRPr="003C4166">
        <w:rPr>
          <w:rFonts w:ascii="Arial" w:hAnsi="Arial" w:cs="Arial"/>
          <w:color w:val="000000" w:themeColor="text1"/>
          <w:lang w:val="es-ES_tradnl"/>
        </w:rPr>
        <w:tab/>
      </w:r>
      <w:r w:rsidRPr="003C4166">
        <w:rPr>
          <w:rFonts w:ascii="Arial" w:hAnsi="Arial" w:cs="Arial"/>
          <w:color w:val="000000" w:themeColor="text1"/>
          <w:lang w:val="es-ES_tradnl"/>
        </w:rPr>
        <w:tab/>
      </w:r>
      <w:r w:rsidRPr="003C4166">
        <w:rPr>
          <w:rFonts w:ascii="Arial" w:hAnsi="Arial" w:cs="Arial"/>
          <w:color w:val="000000" w:themeColor="text1"/>
          <w:lang w:val="es-ES_tradnl"/>
        </w:rPr>
        <w:tab/>
      </w:r>
      <w:r w:rsidRPr="003C4166">
        <w:rPr>
          <w:rFonts w:ascii="Arial" w:hAnsi="Arial" w:cs="Arial"/>
          <w:color w:val="000000" w:themeColor="text1"/>
          <w:lang w:val="es-ES_tradnl"/>
        </w:rPr>
        <w:tab/>
      </w:r>
      <w:r>
        <w:rPr>
          <w:rFonts w:ascii="Arial" w:hAnsi="Arial" w:cs="Arial"/>
          <w:color w:val="000000" w:themeColor="text1"/>
          <w:lang w:val="es-ES_tradnl"/>
        </w:rPr>
        <w:tab/>
      </w:r>
      <w:r>
        <w:rPr>
          <w:rFonts w:ascii="Arial" w:hAnsi="Arial" w:cs="Arial"/>
          <w:color w:val="000000" w:themeColor="text1"/>
          <w:lang w:val="es-ES_tradnl"/>
        </w:rPr>
        <w:tab/>
      </w:r>
      <w:proofErr w:type="spellStart"/>
      <w:r w:rsidRPr="003C4166">
        <w:rPr>
          <w:rFonts w:ascii="Arial" w:hAnsi="Arial" w:cs="Arial"/>
          <w:color w:val="000000" w:themeColor="text1"/>
          <w:lang w:val="es-ES_tradnl"/>
        </w:rPr>
        <w:t>Ponente</w:t>
      </w:r>
      <w:proofErr w:type="spellEnd"/>
      <w:r w:rsidRPr="003C4166">
        <w:rPr>
          <w:rFonts w:ascii="Arial" w:hAnsi="Arial" w:cs="Arial"/>
          <w:color w:val="000000" w:themeColor="text1"/>
          <w:lang w:val="es-ES_tradnl"/>
        </w:rPr>
        <w:tab/>
      </w:r>
    </w:p>
    <w:p w14:paraId="394F8197" w14:textId="59F7AF4D" w:rsidR="00AC7859" w:rsidRPr="003C4166" w:rsidRDefault="00A771B9" w:rsidP="00A771B9">
      <w:pPr>
        <w:pStyle w:val="Sinespaciado"/>
        <w:rPr>
          <w:rFonts w:ascii="Arial" w:eastAsia="Arial" w:hAnsi="Arial" w:cs="Arial"/>
          <w:color w:val="000000" w:themeColor="text1"/>
        </w:rPr>
      </w:pPr>
      <w:r w:rsidRPr="003C4166">
        <w:rPr>
          <w:rFonts w:ascii="Arial" w:hAnsi="Arial" w:cs="Arial"/>
          <w:color w:val="000000" w:themeColor="text1"/>
          <w:lang w:val="es-ES_tradnl"/>
        </w:rPr>
        <w:tab/>
      </w:r>
    </w:p>
    <w:p w14:paraId="3A2B4C02" w14:textId="77777777" w:rsidR="00AC7859" w:rsidRPr="003C4166" w:rsidRDefault="00AC7859" w:rsidP="00AC7859">
      <w:pPr>
        <w:pStyle w:val="Sinespaciado"/>
        <w:jc w:val="center"/>
        <w:rPr>
          <w:rFonts w:ascii="Arial" w:eastAsia="Arial" w:hAnsi="Arial" w:cs="Arial"/>
          <w:color w:val="000000" w:themeColor="text1"/>
        </w:rPr>
      </w:pPr>
    </w:p>
    <w:p w14:paraId="2A0FAD83" w14:textId="77777777" w:rsidR="00AC7859" w:rsidRPr="003C4166" w:rsidRDefault="00AC7859" w:rsidP="001D7A0A">
      <w:pPr>
        <w:spacing w:after="0" w:line="240" w:lineRule="auto"/>
        <w:rPr>
          <w:rFonts w:ascii="Arial" w:eastAsia="Arial" w:hAnsi="Arial" w:cs="Arial"/>
          <w:b/>
          <w:color w:val="000000" w:themeColor="text1"/>
        </w:rPr>
      </w:pPr>
    </w:p>
    <w:p w14:paraId="36804AB0" w14:textId="77777777" w:rsidR="00AC7859" w:rsidRPr="003C4166" w:rsidRDefault="00AC7859" w:rsidP="00C10A21">
      <w:pPr>
        <w:rPr>
          <w:rFonts w:ascii="Arial" w:hAnsi="Arial" w:cs="Arial"/>
          <w:color w:val="000000" w:themeColor="text1"/>
        </w:rPr>
      </w:pPr>
    </w:p>
    <w:p w14:paraId="72BE2271" w14:textId="77777777" w:rsidR="006009E0" w:rsidRPr="003C4166" w:rsidRDefault="006009E0" w:rsidP="006009E0">
      <w:pPr>
        <w:rPr>
          <w:rFonts w:ascii="Arial" w:eastAsia="Arial" w:hAnsi="Arial" w:cs="Arial"/>
          <w:color w:val="000000" w:themeColor="text1"/>
          <w:lang w:val="es-ES" w:eastAsia="es-ES" w:bidi="es-ES"/>
        </w:rPr>
      </w:pPr>
    </w:p>
    <w:p w14:paraId="5D04EAE5" w14:textId="7C207D2C" w:rsidR="00F3531A" w:rsidRDefault="00F3531A" w:rsidP="006009E0">
      <w:pPr>
        <w:rPr>
          <w:rFonts w:ascii="Arial" w:eastAsia="Arial" w:hAnsi="Arial" w:cs="Arial"/>
          <w:color w:val="000000" w:themeColor="text1"/>
          <w:lang w:val="es-ES" w:eastAsia="es-ES" w:bidi="es-ES"/>
        </w:rPr>
      </w:pPr>
    </w:p>
    <w:p w14:paraId="739ED509" w14:textId="77777777" w:rsidR="00A771B9" w:rsidRDefault="00A771B9" w:rsidP="006009E0">
      <w:pPr>
        <w:rPr>
          <w:rFonts w:ascii="Arial" w:eastAsia="Arial" w:hAnsi="Arial" w:cs="Arial"/>
          <w:color w:val="000000" w:themeColor="text1"/>
          <w:lang w:val="es-ES" w:eastAsia="es-ES" w:bidi="es-ES"/>
        </w:rPr>
      </w:pPr>
    </w:p>
    <w:p w14:paraId="056EFD72" w14:textId="0DFDA6A7" w:rsidR="003C4166" w:rsidRDefault="003C4166" w:rsidP="006009E0">
      <w:pPr>
        <w:rPr>
          <w:rFonts w:ascii="Arial" w:eastAsia="Arial" w:hAnsi="Arial" w:cs="Arial"/>
          <w:color w:val="000000" w:themeColor="text1"/>
          <w:lang w:val="es-ES" w:eastAsia="es-ES" w:bidi="es-ES"/>
        </w:rPr>
      </w:pPr>
    </w:p>
    <w:p w14:paraId="56EF1CE6" w14:textId="77777777" w:rsidR="003C4166" w:rsidRPr="003C4166" w:rsidRDefault="003C4166" w:rsidP="006009E0">
      <w:pPr>
        <w:rPr>
          <w:rFonts w:ascii="Arial" w:eastAsia="Arial" w:hAnsi="Arial" w:cs="Arial"/>
          <w:color w:val="000000" w:themeColor="text1"/>
          <w:lang w:val="es-ES" w:eastAsia="es-ES" w:bidi="es-ES"/>
        </w:rPr>
      </w:pPr>
    </w:p>
    <w:p w14:paraId="033C4775" w14:textId="77777777" w:rsidR="00AC7859" w:rsidRPr="003C4166" w:rsidRDefault="006009E0" w:rsidP="006009E0">
      <w:pPr>
        <w:pStyle w:val="Prrafodelista"/>
        <w:numPr>
          <w:ilvl w:val="0"/>
          <w:numId w:val="7"/>
        </w:numPr>
        <w:rPr>
          <w:b/>
          <w:color w:val="000000" w:themeColor="text1"/>
        </w:rPr>
      </w:pPr>
      <w:r w:rsidRPr="003C4166">
        <w:rPr>
          <w:b/>
          <w:color w:val="000000" w:themeColor="text1"/>
        </w:rPr>
        <w:lastRenderedPageBreak/>
        <w:t>TRAMITE DE LA INICIATIVA.</w:t>
      </w:r>
    </w:p>
    <w:p w14:paraId="3A8E1777" w14:textId="77777777" w:rsidR="00AC7859" w:rsidRPr="003C4166" w:rsidRDefault="00AC7859" w:rsidP="001D7A0A">
      <w:pPr>
        <w:pStyle w:val="Prrafodelista"/>
        <w:ind w:left="720" w:firstLine="0"/>
        <w:rPr>
          <w:b/>
          <w:color w:val="000000" w:themeColor="text1"/>
        </w:rPr>
      </w:pPr>
    </w:p>
    <w:p w14:paraId="78270067" w14:textId="15A42A49" w:rsidR="00AC7859" w:rsidRPr="003C4166" w:rsidRDefault="00AC7859" w:rsidP="00C10A21">
      <w:pPr>
        <w:pStyle w:val="Prrafodelista"/>
        <w:numPr>
          <w:ilvl w:val="0"/>
          <w:numId w:val="3"/>
        </w:numPr>
        <w:jc w:val="both"/>
        <w:rPr>
          <w:color w:val="000000" w:themeColor="text1"/>
        </w:rPr>
      </w:pPr>
      <w:r w:rsidRPr="003C4166">
        <w:rPr>
          <w:color w:val="000000" w:themeColor="text1"/>
        </w:rPr>
        <w:t>El</w:t>
      </w:r>
      <w:r w:rsidR="00CC5075" w:rsidRPr="003C4166">
        <w:rPr>
          <w:color w:val="000000" w:themeColor="text1"/>
        </w:rPr>
        <w:t xml:space="preserve"> proyecto de ley 017 de 2021</w:t>
      </w:r>
      <w:r w:rsidRPr="003C4166">
        <w:rPr>
          <w:color w:val="000000" w:themeColor="text1"/>
        </w:rPr>
        <w:t xml:space="preserve"> Cámara</w:t>
      </w:r>
      <w:r w:rsidR="001D7A0A" w:rsidRPr="003C4166">
        <w:rPr>
          <w:color w:val="000000" w:themeColor="text1"/>
        </w:rPr>
        <w:t>,</w:t>
      </w:r>
      <w:r w:rsidRPr="003C4166">
        <w:rPr>
          <w:color w:val="000000" w:themeColor="text1"/>
        </w:rPr>
        <w:t xml:space="preserve"> corresponde a una iniciati</w:t>
      </w:r>
      <w:r w:rsidR="001D7A0A" w:rsidRPr="003C4166">
        <w:rPr>
          <w:color w:val="000000" w:themeColor="text1"/>
        </w:rPr>
        <w:t>va presentada por los HR</w:t>
      </w:r>
      <w:r w:rsidRPr="003C4166">
        <w:rPr>
          <w:color w:val="000000" w:themeColor="text1"/>
        </w:rPr>
        <w:t xml:space="preserve"> Juan Carlos Wills Ospina, H.R.</w:t>
      </w:r>
      <w:r w:rsidR="001D7A0A" w:rsidRPr="003C4166">
        <w:rPr>
          <w:color w:val="000000" w:themeColor="text1"/>
        </w:rPr>
        <w:t xml:space="preserve"> </w:t>
      </w:r>
      <w:r w:rsidR="00475244" w:rsidRPr="003C4166">
        <w:rPr>
          <w:color w:val="000000" w:themeColor="text1"/>
        </w:rPr>
        <w:t xml:space="preserve">Buenaventura León </w:t>
      </w:r>
      <w:proofErr w:type="spellStart"/>
      <w:r w:rsidR="00475244" w:rsidRPr="003C4166">
        <w:rPr>
          <w:color w:val="000000" w:themeColor="text1"/>
        </w:rPr>
        <w:t>León</w:t>
      </w:r>
      <w:proofErr w:type="spellEnd"/>
      <w:r w:rsidR="00475244" w:rsidRPr="003C4166">
        <w:rPr>
          <w:color w:val="000000" w:themeColor="text1"/>
        </w:rPr>
        <w:t xml:space="preserve">, </w:t>
      </w:r>
      <w:r w:rsidRPr="003C4166">
        <w:rPr>
          <w:color w:val="000000" w:themeColor="text1"/>
        </w:rPr>
        <w:t>H.R.</w:t>
      </w:r>
      <w:r w:rsidR="001D7A0A" w:rsidRPr="003C4166">
        <w:rPr>
          <w:color w:val="000000" w:themeColor="text1"/>
        </w:rPr>
        <w:t xml:space="preserve"> </w:t>
      </w:r>
      <w:r w:rsidRPr="003C4166">
        <w:rPr>
          <w:color w:val="000000" w:themeColor="text1"/>
        </w:rPr>
        <w:t>Ciro Antonio Rodríguez Pinzón, H.R.</w:t>
      </w:r>
      <w:r w:rsidR="001D7A0A" w:rsidRPr="003C4166">
        <w:rPr>
          <w:color w:val="000000" w:themeColor="text1"/>
        </w:rPr>
        <w:t xml:space="preserve"> </w:t>
      </w:r>
      <w:r w:rsidRPr="003C4166">
        <w:rPr>
          <w:color w:val="000000" w:themeColor="text1"/>
        </w:rPr>
        <w:t>Armando Antonio Zabaraín de Arce, H.R.</w:t>
      </w:r>
      <w:r w:rsidR="001D7A0A" w:rsidRPr="003C4166">
        <w:rPr>
          <w:color w:val="000000" w:themeColor="text1"/>
        </w:rPr>
        <w:t xml:space="preserve"> </w:t>
      </w:r>
      <w:r w:rsidRPr="003C4166">
        <w:rPr>
          <w:color w:val="000000" w:themeColor="text1"/>
        </w:rPr>
        <w:t>D</w:t>
      </w:r>
      <w:r w:rsidR="00475244" w:rsidRPr="003C4166">
        <w:rPr>
          <w:color w:val="000000" w:themeColor="text1"/>
        </w:rPr>
        <w:t>iela Liliana Benavides Solarte.</w:t>
      </w:r>
    </w:p>
    <w:p w14:paraId="68A1103A" w14:textId="77777777" w:rsidR="001D7A0A" w:rsidRPr="003C4166" w:rsidRDefault="001D7A0A" w:rsidP="001D7A0A">
      <w:pPr>
        <w:spacing w:after="0" w:line="240" w:lineRule="auto"/>
        <w:jc w:val="both"/>
        <w:rPr>
          <w:rFonts w:ascii="Arial" w:hAnsi="Arial" w:cs="Arial"/>
          <w:color w:val="000000" w:themeColor="text1"/>
        </w:rPr>
      </w:pPr>
    </w:p>
    <w:p w14:paraId="267C0F05" w14:textId="39B50163" w:rsidR="00684C13" w:rsidRPr="003C4166" w:rsidRDefault="00AC7859" w:rsidP="00EB2DAE">
      <w:pPr>
        <w:pStyle w:val="Prrafodelista"/>
        <w:numPr>
          <w:ilvl w:val="0"/>
          <w:numId w:val="3"/>
        </w:numPr>
        <w:jc w:val="both"/>
        <w:rPr>
          <w:color w:val="000000" w:themeColor="text1"/>
        </w:rPr>
      </w:pPr>
      <w:r w:rsidRPr="003C4166">
        <w:rPr>
          <w:color w:val="000000" w:themeColor="text1"/>
        </w:rPr>
        <w:t>Por designación de la Mesa</w:t>
      </w:r>
      <w:r w:rsidR="00CC5075" w:rsidRPr="003C4166">
        <w:rPr>
          <w:color w:val="000000" w:themeColor="text1"/>
        </w:rPr>
        <w:t xml:space="preserve"> Directiva de la Comisión Primer</w:t>
      </w:r>
      <w:r w:rsidRPr="003C4166">
        <w:rPr>
          <w:color w:val="000000" w:themeColor="text1"/>
        </w:rPr>
        <w:t>a de la Cámara de Representantes fu</w:t>
      </w:r>
      <w:r w:rsidR="001D7A0A" w:rsidRPr="003C4166">
        <w:rPr>
          <w:color w:val="000000" w:themeColor="text1"/>
        </w:rPr>
        <w:t>i</w:t>
      </w:r>
      <w:r w:rsidR="00CC5075" w:rsidRPr="003C4166">
        <w:rPr>
          <w:color w:val="000000" w:themeColor="text1"/>
        </w:rPr>
        <w:t xml:space="preserve"> designado como</w:t>
      </w:r>
      <w:r w:rsidRPr="003C4166">
        <w:rPr>
          <w:color w:val="000000" w:themeColor="text1"/>
        </w:rPr>
        <w:t xml:space="preserve"> ponente</w:t>
      </w:r>
      <w:r w:rsidR="00CC5075" w:rsidRPr="003C4166">
        <w:rPr>
          <w:color w:val="000000" w:themeColor="text1"/>
        </w:rPr>
        <w:t xml:space="preserve"> único para primer debate.</w:t>
      </w:r>
    </w:p>
    <w:p w14:paraId="00590C5C" w14:textId="4926B4B0" w:rsidR="00684C13" w:rsidRPr="003C4166" w:rsidRDefault="00CC5075" w:rsidP="00684C13">
      <w:pPr>
        <w:pStyle w:val="Prrafodelista"/>
        <w:numPr>
          <w:ilvl w:val="0"/>
          <w:numId w:val="3"/>
        </w:numPr>
        <w:jc w:val="both"/>
        <w:rPr>
          <w:color w:val="000000" w:themeColor="text1"/>
        </w:rPr>
      </w:pPr>
      <w:r w:rsidRPr="003C4166">
        <w:rPr>
          <w:color w:val="000000" w:themeColor="text1"/>
        </w:rPr>
        <w:t>S</w:t>
      </w:r>
      <w:r w:rsidR="00EA1F9C" w:rsidRPr="003C4166">
        <w:rPr>
          <w:color w:val="000000" w:themeColor="text1"/>
        </w:rPr>
        <w:t>e aprobó</w:t>
      </w:r>
      <w:r w:rsidR="002530BF" w:rsidRPr="003C4166">
        <w:rPr>
          <w:color w:val="000000" w:themeColor="text1"/>
        </w:rPr>
        <w:t xml:space="preserve"> en primer debate</w:t>
      </w:r>
      <w:r w:rsidR="00EA1F9C" w:rsidRPr="003C4166">
        <w:rPr>
          <w:color w:val="000000" w:themeColor="text1"/>
        </w:rPr>
        <w:t xml:space="preserve"> por unanimidad de los Honorables Representantes el informe de ponencia </w:t>
      </w:r>
      <w:r w:rsidRPr="003C4166">
        <w:rPr>
          <w:color w:val="000000" w:themeColor="text1"/>
        </w:rPr>
        <w:t xml:space="preserve">presentado por el </w:t>
      </w:r>
      <w:r w:rsidR="00012B62" w:rsidRPr="003C4166">
        <w:rPr>
          <w:color w:val="000000" w:themeColor="text1"/>
        </w:rPr>
        <w:t>suscrito.</w:t>
      </w:r>
    </w:p>
    <w:p w14:paraId="3B15C8C8" w14:textId="3F8F5F52" w:rsidR="003A4F7A" w:rsidRPr="003C4166" w:rsidRDefault="003A4F7A" w:rsidP="00684C13">
      <w:pPr>
        <w:pStyle w:val="Prrafodelista"/>
        <w:numPr>
          <w:ilvl w:val="0"/>
          <w:numId w:val="3"/>
        </w:numPr>
        <w:jc w:val="both"/>
        <w:rPr>
          <w:color w:val="000000" w:themeColor="text1"/>
        </w:rPr>
      </w:pPr>
      <w:r w:rsidRPr="003C4166">
        <w:rPr>
          <w:color w:val="000000" w:themeColor="text1"/>
        </w:rPr>
        <w:t xml:space="preserve">Se recibieron Proposiciones que fueron dejadas como constancias </w:t>
      </w:r>
      <w:r w:rsidR="008A395F" w:rsidRPr="003C4166">
        <w:rPr>
          <w:color w:val="000000" w:themeColor="text1"/>
        </w:rPr>
        <w:t xml:space="preserve">de los Honorables Representantes; H.R Jorge Tamayo, H.R. Cesar Lorduy, H.R. Julián Peinado, H.R. Juanita Goebertus, H.R. Adriana Magaly Matiz y H.R. Jorge Méndez, las cuales fueron </w:t>
      </w:r>
      <w:r w:rsidR="00074256" w:rsidRPr="003C4166">
        <w:rPr>
          <w:color w:val="000000" w:themeColor="text1"/>
        </w:rPr>
        <w:t>acogidas</w:t>
      </w:r>
      <w:r w:rsidR="008A395F" w:rsidRPr="003C4166">
        <w:rPr>
          <w:color w:val="000000" w:themeColor="text1"/>
        </w:rPr>
        <w:t xml:space="preserve"> </w:t>
      </w:r>
      <w:r w:rsidR="00FC7B84" w:rsidRPr="003C4166">
        <w:rPr>
          <w:color w:val="000000" w:themeColor="text1"/>
        </w:rPr>
        <w:t>parcialmente para la redacción</w:t>
      </w:r>
      <w:r w:rsidR="008A395F" w:rsidRPr="003C4166">
        <w:rPr>
          <w:color w:val="000000" w:themeColor="text1"/>
        </w:rPr>
        <w:t xml:space="preserve"> del articulado presentado en este informe de ponencia para su discusión en segundo debate</w:t>
      </w:r>
      <w:r w:rsidR="005F6815" w:rsidRPr="003C4166">
        <w:rPr>
          <w:color w:val="000000" w:themeColor="text1"/>
        </w:rPr>
        <w:t>.</w:t>
      </w:r>
    </w:p>
    <w:p w14:paraId="733BDB38" w14:textId="77777777" w:rsidR="00AC7859" w:rsidRPr="003C4166" w:rsidRDefault="00AC7859" w:rsidP="001D7A0A">
      <w:pPr>
        <w:spacing w:after="0" w:line="240" w:lineRule="auto"/>
        <w:rPr>
          <w:rFonts w:ascii="Arial" w:hAnsi="Arial" w:cs="Arial"/>
          <w:color w:val="000000" w:themeColor="text1"/>
          <w:lang w:val="es-ES"/>
        </w:rPr>
      </w:pPr>
    </w:p>
    <w:p w14:paraId="5A55DD38" w14:textId="77777777" w:rsidR="00A90B3D" w:rsidRPr="003C4166" w:rsidRDefault="00A90B3D" w:rsidP="001D7A0A">
      <w:pPr>
        <w:spacing w:after="0" w:line="240" w:lineRule="auto"/>
        <w:rPr>
          <w:rFonts w:ascii="Arial" w:hAnsi="Arial" w:cs="Arial"/>
          <w:color w:val="000000" w:themeColor="text1"/>
        </w:rPr>
      </w:pPr>
    </w:p>
    <w:p w14:paraId="2B148888" w14:textId="77777777" w:rsidR="00A90B3D" w:rsidRPr="003C4166" w:rsidRDefault="00A90B3D" w:rsidP="00A90B3D">
      <w:pPr>
        <w:pStyle w:val="Prrafodelista"/>
        <w:numPr>
          <w:ilvl w:val="0"/>
          <w:numId w:val="7"/>
        </w:numPr>
        <w:rPr>
          <w:b/>
          <w:color w:val="000000" w:themeColor="text1"/>
        </w:rPr>
      </w:pPr>
      <w:r w:rsidRPr="003C4166">
        <w:rPr>
          <w:b/>
          <w:color w:val="000000" w:themeColor="text1"/>
        </w:rPr>
        <w:t xml:space="preserve">OBJETO DEL PROYECTO </w:t>
      </w:r>
    </w:p>
    <w:p w14:paraId="4DC6A56B" w14:textId="77777777" w:rsidR="00B2528D" w:rsidRPr="003C4166" w:rsidRDefault="00B2528D" w:rsidP="00D276BE">
      <w:pPr>
        <w:jc w:val="both"/>
        <w:rPr>
          <w:rFonts w:ascii="Arial" w:hAnsi="Arial" w:cs="Arial"/>
          <w:b/>
          <w:color w:val="000000" w:themeColor="text1"/>
        </w:rPr>
      </w:pPr>
    </w:p>
    <w:p w14:paraId="3737DC0F" w14:textId="77777777" w:rsidR="00700E8E" w:rsidRPr="003C4166" w:rsidRDefault="00700E8E" w:rsidP="00700E8E">
      <w:pPr>
        <w:jc w:val="both"/>
        <w:rPr>
          <w:rFonts w:ascii="Arial" w:hAnsi="Arial" w:cs="Arial"/>
          <w:bCs/>
          <w:color w:val="000000" w:themeColor="text1"/>
        </w:rPr>
      </w:pPr>
      <w:r w:rsidRPr="003C4166">
        <w:rPr>
          <w:rFonts w:ascii="Arial" w:hAnsi="Arial" w:cs="Arial"/>
          <w:bCs/>
          <w:color w:val="000000" w:themeColor="text1"/>
        </w:rPr>
        <w:t>El presente Proyecto de Ley tiene por objeto implementar mecanismos que hagan eficaz el ejercicio del derecho fundamental a la intimidad de los usuarios del sector financiero, durante los lapsos en que están suspendidas las actividades productivas, como las horas inhábiles, los fines de semana y los días festivos. Se trata de proteger el ámbito privado del individuo y su familia, de la injerencia externa e invasiva, durante las horas reservadas a la intimidad individual y familiar, particularmente de la actividad de los acreedores financieros, casas de cobranza, agencias externas, que alteran e interfieren el ejercicio de ese derecho a través de mecanismos como llamadas, mensajes de texto, mensajes de datos, correos electrónicos y similares.</w:t>
      </w:r>
    </w:p>
    <w:p w14:paraId="75020283" w14:textId="77777777" w:rsidR="00700E8E" w:rsidRPr="003C4166" w:rsidRDefault="00700E8E" w:rsidP="00700E8E">
      <w:pPr>
        <w:jc w:val="both"/>
        <w:rPr>
          <w:rFonts w:ascii="Arial" w:hAnsi="Arial" w:cs="Arial"/>
          <w:bCs/>
          <w:color w:val="000000" w:themeColor="text1"/>
        </w:rPr>
      </w:pPr>
    </w:p>
    <w:p w14:paraId="69275E56" w14:textId="77777777" w:rsidR="00700E8E" w:rsidRPr="003C4166" w:rsidRDefault="00700E8E" w:rsidP="00700E8E">
      <w:pPr>
        <w:jc w:val="both"/>
        <w:rPr>
          <w:rFonts w:ascii="Arial" w:hAnsi="Arial" w:cs="Arial"/>
          <w:bCs/>
          <w:color w:val="000000" w:themeColor="text1"/>
        </w:rPr>
      </w:pPr>
      <w:r w:rsidRPr="003C4166">
        <w:rPr>
          <w:rFonts w:ascii="Arial" w:hAnsi="Arial" w:cs="Arial"/>
          <w:bCs/>
          <w:color w:val="000000" w:themeColor="text1"/>
        </w:rPr>
        <w:t>Modernamente, no es posible concebir la vida del individuo al margen de las interacciones con los demás integrantes del conglomerado social. Además, es un hecho que las relaciones no se limitan a los contactos entre personas, sino que la interacción con el mundo externo se produce a través de múltiples contactos con entes abstractos, instituciones, medios masivos de comunicación y publicidad, y todo tipo de manifestaciones de grupos de interés, a través de un variado catálogo de mecanismos proporcionados por los avances tecnológicos, todo ello alrededor de las actividades económicas indispensables para la subsistencia y la vida en sociedad. Podría afirmarce que en la actualidad resulta extremadamente difícil encontrar espacios que escapen a la influencia permanente del mundo exterior, en los que sea posible la realización existencial de los intereses exclusivamente individuales y familiares.</w:t>
      </w:r>
    </w:p>
    <w:p w14:paraId="265B0819" w14:textId="77777777" w:rsidR="00700E8E" w:rsidRPr="003C4166" w:rsidRDefault="00700E8E" w:rsidP="00700E8E">
      <w:pPr>
        <w:jc w:val="both"/>
        <w:rPr>
          <w:rFonts w:ascii="Arial" w:hAnsi="Arial" w:cs="Arial"/>
          <w:bCs/>
          <w:color w:val="000000" w:themeColor="text1"/>
        </w:rPr>
      </w:pPr>
    </w:p>
    <w:p w14:paraId="0D526E6B" w14:textId="77777777" w:rsidR="00700E8E" w:rsidRPr="003C4166" w:rsidRDefault="00700E8E" w:rsidP="00700E8E">
      <w:pPr>
        <w:jc w:val="both"/>
        <w:rPr>
          <w:rFonts w:ascii="Arial" w:hAnsi="Arial" w:cs="Arial"/>
          <w:bCs/>
          <w:color w:val="000000" w:themeColor="text1"/>
        </w:rPr>
      </w:pPr>
      <w:r w:rsidRPr="003C4166">
        <w:rPr>
          <w:rFonts w:ascii="Arial" w:hAnsi="Arial" w:cs="Arial"/>
          <w:bCs/>
          <w:color w:val="000000" w:themeColor="text1"/>
        </w:rPr>
        <w:t xml:space="preserve">Pero esa dificultad no implica que no se necesiten esos espacios de intimidad, libres de toda injerencia, incluso se se pensara en una regulación puramente funcional de la vida cotidiana al servicio de la colectividad, puesto que, aún en este evento, tales espacios resultan indispensables para que la persona pueda convertirse en sujeto de derechos y obligaciones, apto para el ejercicio </w:t>
      </w:r>
      <w:r w:rsidRPr="003C4166">
        <w:rPr>
          <w:rFonts w:ascii="Arial" w:hAnsi="Arial" w:cs="Arial"/>
          <w:bCs/>
          <w:color w:val="000000" w:themeColor="text1"/>
        </w:rPr>
        <w:lastRenderedPageBreak/>
        <w:t>de las responsabilidades de sociales. Es por eso que la Corte Constitucional, intérprete autorizada de la Carta, ha interpretado el derecho a la intimidad en los siguientes términos:</w:t>
      </w:r>
    </w:p>
    <w:p w14:paraId="2E62AF5A" w14:textId="77777777" w:rsidR="00700E8E" w:rsidRPr="003C4166" w:rsidRDefault="00700E8E" w:rsidP="00700E8E">
      <w:pPr>
        <w:jc w:val="both"/>
        <w:rPr>
          <w:rFonts w:ascii="Arial" w:hAnsi="Arial" w:cs="Arial"/>
          <w:bCs/>
          <w:color w:val="000000" w:themeColor="text1"/>
        </w:rPr>
      </w:pPr>
    </w:p>
    <w:p w14:paraId="1AEDD72E" w14:textId="77777777" w:rsidR="00700E8E" w:rsidRPr="003C4166" w:rsidRDefault="00700E8E" w:rsidP="00700E8E">
      <w:pPr>
        <w:spacing w:line="300" w:lineRule="auto"/>
        <w:ind w:left="708"/>
        <w:jc w:val="both"/>
        <w:rPr>
          <w:rFonts w:ascii="Arial" w:hAnsi="Arial" w:cs="Arial"/>
          <w:i/>
          <w:iCs/>
          <w:color w:val="000000" w:themeColor="text1"/>
        </w:rPr>
      </w:pPr>
      <w:r w:rsidRPr="003C4166">
        <w:rPr>
          <w:rFonts w:ascii="Arial" w:hAnsi="Arial" w:cs="Arial"/>
          <w:i/>
          <w:iCs/>
          <w:color w:val="000000" w:themeColor="text1"/>
        </w:rPr>
        <w:t xml:space="preserve">“(…) Desde 1992, la Corte Constitucional reconoció el derecho a la intimidad como un derecho fundamental que permite a las personas manejar su propia existencia como a bien lo tengan </w:t>
      </w:r>
      <w:r w:rsidRPr="003C4166">
        <w:rPr>
          <w:rFonts w:ascii="Arial" w:hAnsi="Arial" w:cs="Arial"/>
          <w:i/>
          <w:iCs/>
          <w:color w:val="000000" w:themeColor="text1"/>
          <w:u w:val="single"/>
        </w:rPr>
        <w:t>con el mínimo de injerencias exteriores</w:t>
      </w:r>
      <w:r w:rsidRPr="003C4166">
        <w:rPr>
          <w:rFonts w:ascii="Arial" w:hAnsi="Arial" w:cs="Arial"/>
          <w:i/>
          <w:iCs/>
          <w:color w:val="000000" w:themeColor="text1"/>
        </w:rPr>
        <w:t>. Se dijo en ese entonces que se trataba de un derecho ‘general, absoluto, extrapatrimonial, inalienable e imprescriptible y que se pueda hacer valer erga omnes’, vale decir, tanto frente al Estado como a los particulares. (…)</w:t>
      </w:r>
    </w:p>
    <w:p w14:paraId="3164BE21" w14:textId="77777777" w:rsidR="00700E8E" w:rsidRPr="003C4166" w:rsidRDefault="00700E8E" w:rsidP="00700E8E">
      <w:pPr>
        <w:spacing w:line="300" w:lineRule="auto"/>
        <w:ind w:left="708"/>
        <w:rPr>
          <w:rFonts w:ascii="Arial" w:hAnsi="Arial" w:cs="Arial"/>
          <w:i/>
          <w:iCs/>
          <w:color w:val="000000" w:themeColor="text1"/>
        </w:rPr>
      </w:pPr>
    </w:p>
    <w:p w14:paraId="00DEB73B" w14:textId="77777777" w:rsidR="00700E8E" w:rsidRPr="003C4166" w:rsidRDefault="00700E8E" w:rsidP="00700E8E">
      <w:pPr>
        <w:spacing w:line="300" w:lineRule="auto"/>
        <w:ind w:left="708"/>
        <w:jc w:val="both"/>
        <w:rPr>
          <w:rFonts w:ascii="Arial" w:hAnsi="Arial" w:cs="Arial"/>
          <w:i/>
          <w:iCs/>
          <w:color w:val="000000" w:themeColor="text1"/>
        </w:rPr>
      </w:pPr>
      <w:r w:rsidRPr="003C4166">
        <w:rPr>
          <w:rFonts w:ascii="Arial" w:hAnsi="Arial" w:cs="Arial"/>
          <w:i/>
          <w:iCs/>
          <w:color w:val="000000" w:themeColor="text1"/>
        </w:rPr>
        <w:t xml:space="preserve">(…) </w:t>
      </w:r>
      <w:r w:rsidRPr="003C4166">
        <w:rPr>
          <w:rFonts w:ascii="Arial" w:hAnsi="Arial" w:cs="Arial"/>
          <w:i/>
          <w:iCs/>
          <w:color w:val="000000" w:themeColor="text1"/>
          <w:u w:val="single"/>
        </w:rPr>
        <w:t>la intimidad es ‘el espacio intangible, inmune a las intromisiones externas, del que se deduce un derecho a no ser forzado a escuchar o a ser lo que no desea escuchar o ver, así como un derecho a no ser escuchado o visto cuando no se desea ser escuchado o visto</w:t>
      </w:r>
      <w:r w:rsidRPr="003C4166">
        <w:rPr>
          <w:rFonts w:ascii="Arial" w:hAnsi="Arial" w:cs="Arial"/>
          <w:i/>
          <w:iCs/>
          <w:color w:val="000000" w:themeColor="text1"/>
        </w:rPr>
        <w:t>.’</w:t>
      </w:r>
    </w:p>
    <w:p w14:paraId="7B281198" w14:textId="77777777" w:rsidR="00700E8E" w:rsidRPr="003C4166" w:rsidRDefault="00700E8E" w:rsidP="00700E8E">
      <w:pPr>
        <w:spacing w:line="300" w:lineRule="auto"/>
        <w:ind w:left="708"/>
        <w:rPr>
          <w:rFonts w:ascii="Arial" w:hAnsi="Arial" w:cs="Arial"/>
          <w:i/>
          <w:iCs/>
          <w:color w:val="000000" w:themeColor="text1"/>
        </w:rPr>
      </w:pPr>
    </w:p>
    <w:p w14:paraId="4B37F924" w14:textId="77777777" w:rsidR="00700E8E" w:rsidRPr="003C4166" w:rsidRDefault="00700E8E" w:rsidP="00700E8E">
      <w:pPr>
        <w:spacing w:line="300" w:lineRule="auto"/>
        <w:ind w:left="708"/>
        <w:jc w:val="both"/>
        <w:rPr>
          <w:rFonts w:ascii="Arial" w:hAnsi="Arial" w:cs="Arial"/>
          <w:i/>
          <w:iCs/>
          <w:color w:val="000000" w:themeColor="text1"/>
        </w:rPr>
      </w:pPr>
      <w:r w:rsidRPr="003C4166">
        <w:rPr>
          <w:rFonts w:ascii="Arial" w:hAnsi="Arial" w:cs="Arial"/>
          <w:i/>
          <w:iCs/>
          <w:color w:val="000000" w:themeColor="text1"/>
        </w:rPr>
        <w:t>En 1995, se reiteró esta visión del derecho a la intimidad, cuando se afirmó que ‘</w:t>
      </w:r>
      <w:proofErr w:type="gramStart"/>
      <w:r w:rsidRPr="003C4166">
        <w:rPr>
          <w:rFonts w:ascii="Arial" w:hAnsi="Arial" w:cs="Arial"/>
          <w:i/>
          <w:iCs/>
          <w:color w:val="000000" w:themeColor="text1"/>
        </w:rPr>
        <w:t>..</w:t>
      </w:r>
      <w:proofErr w:type="gramEnd"/>
      <w:r w:rsidRPr="003C4166">
        <w:rPr>
          <w:rFonts w:ascii="Arial" w:hAnsi="Arial" w:cs="Arial"/>
          <w:i/>
          <w:iCs/>
          <w:color w:val="000000" w:themeColor="text1"/>
        </w:rPr>
        <w:t xml:space="preserve">este derecho, que se deduce de la dignidad humana y de la natural tendencia de toda persona a la libertad, a la autonomía y a la autoconservación, </w:t>
      </w:r>
      <w:r w:rsidRPr="003C4166">
        <w:rPr>
          <w:rFonts w:ascii="Arial" w:hAnsi="Arial" w:cs="Arial"/>
          <w:i/>
          <w:iCs/>
          <w:color w:val="000000" w:themeColor="text1"/>
          <w:u w:val="single"/>
        </w:rPr>
        <w:t>protege el ámbito privado del individuo y de su familia como el núcleo humano más próximo</w:t>
      </w:r>
      <w:r w:rsidRPr="003C4166">
        <w:rPr>
          <w:rFonts w:ascii="Arial" w:hAnsi="Arial" w:cs="Arial"/>
          <w:i/>
          <w:iCs/>
          <w:color w:val="000000" w:themeColor="text1"/>
        </w:rPr>
        <w:t xml:space="preserve">. </w:t>
      </w:r>
      <w:r w:rsidRPr="003C4166">
        <w:rPr>
          <w:rFonts w:ascii="Arial" w:hAnsi="Arial" w:cs="Arial"/>
          <w:b/>
          <w:bCs/>
          <w:i/>
          <w:iCs/>
          <w:color w:val="000000" w:themeColor="text1"/>
          <w:u w:val="single"/>
        </w:rPr>
        <w:t>Uno y otra están en posición de reclamar una mínima consideración particular y pública a su interioridad</w:t>
      </w:r>
      <w:r w:rsidRPr="003C4166">
        <w:rPr>
          <w:rFonts w:ascii="Arial" w:hAnsi="Arial" w:cs="Arial"/>
          <w:i/>
          <w:iCs/>
          <w:color w:val="000000" w:themeColor="text1"/>
          <w:u w:val="single"/>
        </w:rPr>
        <w:t>, actitud que se traduce en abstención de conocimiento e injerencia en la esfera reservada que les corresponde y que está compuesta por asuntos, problemas, situaciones y circunstancias de su exclusivo interés</w:t>
      </w:r>
      <w:r w:rsidRPr="003C4166">
        <w:rPr>
          <w:rFonts w:ascii="Arial" w:hAnsi="Arial" w:cs="Arial"/>
          <w:i/>
          <w:iCs/>
          <w:color w:val="000000" w:themeColor="text1"/>
        </w:rPr>
        <w:t xml:space="preserve">. Esta no hace parte del dominio público y, por tanto, no debe ser materia de información suministrada a terceros, ni de la intervención o análisis de grupos humanos ajenos, ni de divulgaciones o publicaciones (…) </w:t>
      </w:r>
      <w:r w:rsidRPr="003C4166">
        <w:rPr>
          <w:rFonts w:ascii="Arial" w:hAnsi="Arial" w:cs="Arial"/>
          <w:i/>
          <w:iCs/>
          <w:color w:val="000000" w:themeColor="text1"/>
          <w:u w:val="single"/>
        </w:rPr>
        <w:t>Ese terreno privado no puede ser invadido por los demás miembros de la comunidad a la que se integran la persona o familia, ni por el Estado</w:t>
      </w:r>
      <w:r w:rsidRPr="003C4166">
        <w:rPr>
          <w:rFonts w:ascii="Arial" w:hAnsi="Arial" w:cs="Arial"/>
          <w:i/>
          <w:iCs/>
          <w:color w:val="000000" w:themeColor="text1"/>
        </w:rPr>
        <w:t>. (…)</w:t>
      </w:r>
    </w:p>
    <w:p w14:paraId="3D5DC84C" w14:textId="77777777" w:rsidR="00700E8E" w:rsidRPr="003C4166" w:rsidRDefault="00700E8E" w:rsidP="00700E8E">
      <w:pPr>
        <w:spacing w:line="300" w:lineRule="auto"/>
        <w:ind w:left="708"/>
        <w:rPr>
          <w:rFonts w:ascii="Arial" w:hAnsi="Arial" w:cs="Arial"/>
          <w:i/>
          <w:iCs/>
          <w:color w:val="000000" w:themeColor="text1"/>
        </w:rPr>
      </w:pPr>
    </w:p>
    <w:p w14:paraId="51D9ECDE" w14:textId="77777777" w:rsidR="00700E8E" w:rsidRPr="003C4166" w:rsidRDefault="00700E8E" w:rsidP="00700E8E">
      <w:pPr>
        <w:spacing w:line="300" w:lineRule="auto"/>
        <w:ind w:left="708"/>
        <w:jc w:val="both"/>
        <w:rPr>
          <w:rFonts w:ascii="Arial" w:hAnsi="Arial" w:cs="Arial"/>
          <w:i/>
          <w:iCs/>
          <w:color w:val="000000" w:themeColor="text1"/>
        </w:rPr>
      </w:pPr>
      <w:r w:rsidRPr="003C4166">
        <w:rPr>
          <w:rFonts w:ascii="Arial" w:hAnsi="Arial" w:cs="Arial"/>
          <w:i/>
          <w:iCs/>
          <w:color w:val="000000" w:themeColor="text1"/>
        </w:rPr>
        <w:t>(…) “todas las personas tienen derecho a su intimidad personal y familiar…y el Estado debe respetarlos y hacerlos respetar”</w:t>
      </w:r>
    </w:p>
    <w:p w14:paraId="3060D1A6" w14:textId="77777777" w:rsidR="00700E8E" w:rsidRPr="003C4166" w:rsidRDefault="00700E8E" w:rsidP="00700E8E">
      <w:pPr>
        <w:spacing w:line="300" w:lineRule="auto"/>
        <w:ind w:left="708"/>
        <w:rPr>
          <w:rFonts w:ascii="Arial" w:hAnsi="Arial" w:cs="Arial"/>
          <w:i/>
          <w:iCs/>
          <w:color w:val="000000" w:themeColor="text1"/>
        </w:rPr>
      </w:pPr>
    </w:p>
    <w:p w14:paraId="0D578E59" w14:textId="77777777" w:rsidR="00700E8E" w:rsidRPr="003C4166" w:rsidRDefault="00700E8E" w:rsidP="00700E8E">
      <w:pPr>
        <w:spacing w:line="300" w:lineRule="auto"/>
        <w:ind w:left="708"/>
        <w:jc w:val="both"/>
        <w:rPr>
          <w:rFonts w:ascii="Arial" w:hAnsi="Arial" w:cs="Arial"/>
          <w:i/>
          <w:iCs/>
          <w:color w:val="000000" w:themeColor="text1"/>
        </w:rPr>
      </w:pPr>
      <w:r w:rsidRPr="003C4166">
        <w:rPr>
          <w:rFonts w:ascii="Arial" w:hAnsi="Arial" w:cs="Arial"/>
          <w:i/>
          <w:iCs/>
          <w:color w:val="000000" w:themeColor="text1"/>
        </w:rPr>
        <w:t xml:space="preserve">(…) El derecho a la intimidad, junto con otros derechos como el del libre desarrollo de la personalidad y la libertad de conciencia, están concebidos para permitir a las personas fortalecer y desarrollar su condición de seres libres y autónomos, que es el presupuesto esencial del estado democrático. La individualidad del individuo, su posibilidad no siempre fácil de separarse del influjo de los otros o de la masa, de realizar las actividades que les </w:t>
      </w:r>
      <w:r w:rsidRPr="003C4166">
        <w:rPr>
          <w:rFonts w:ascii="Arial" w:hAnsi="Arial" w:cs="Arial"/>
          <w:i/>
          <w:iCs/>
          <w:color w:val="000000" w:themeColor="text1"/>
        </w:rPr>
        <w:lastRenderedPageBreak/>
        <w:t xml:space="preserve">son afines y no las que le sean impuestas, de reflexionar solitariamente, de optar por sus propias preferencias, y de llegar a sus propias conclusiones frente a los dilemas de la cotidianidad y de la política, en fin, la posibilidad de aislarse con frecuencia u ocasionalmente del mundo, es de lo que depende el que pueda convertirse en un sujeto de derechos y obligaciones, el que pueda ejercer las responsabilidades democráticas y participar en los procesos que forjan un estado social de derecho como lo es el colombiano. Sólo reconociendo la autonomía e individualidad de las personas, puede hablarse del “respeto a la dignidad humana” que sirve de fundamento al estado colombiano, según el </w:t>
      </w:r>
      <w:hyperlink r:id="rId8" w:anchor="/vid/42867930/node/1">
        <w:r w:rsidRPr="003C4166">
          <w:rPr>
            <w:rStyle w:val="Hipervnculo"/>
            <w:rFonts w:ascii="Arial" w:hAnsi="Arial" w:cs="Arial"/>
            <w:i/>
            <w:iCs/>
            <w:color w:val="000000" w:themeColor="text1"/>
          </w:rPr>
          <w:t>artículo 1º</w:t>
        </w:r>
      </w:hyperlink>
      <w:r w:rsidRPr="003C4166">
        <w:rPr>
          <w:rFonts w:ascii="Arial" w:hAnsi="Arial" w:cs="Arial"/>
          <w:i/>
          <w:iCs/>
          <w:color w:val="000000" w:themeColor="text1"/>
        </w:rPr>
        <w:t xml:space="preserve"> de la </w:t>
      </w:r>
      <w:hyperlink r:id="rId9" w:anchor="/vid/42867930">
        <w:r w:rsidRPr="003C4166">
          <w:rPr>
            <w:rStyle w:val="Hipervnculo"/>
            <w:rFonts w:ascii="Arial" w:hAnsi="Arial" w:cs="Arial"/>
            <w:i/>
            <w:iCs/>
            <w:color w:val="000000" w:themeColor="text1"/>
          </w:rPr>
          <w:t>Constitución</w:t>
        </w:r>
      </w:hyperlink>
      <w:r w:rsidRPr="003C4166">
        <w:rPr>
          <w:rFonts w:ascii="Arial" w:hAnsi="Arial" w:cs="Arial"/>
          <w:i/>
          <w:iCs/>
          <w:color w:val="000000" w:themeColor="text1"/>
        </w:rPr>
        <w:t>. La protección de esa esfera inmune a la injerencia de los otros –del Estado o de otros particulares-, como prerrequisito para la construcción de la autonomía individual que a su vez constituye el rasgo esencial del sujeto democráticamente activo, tiene que ser jurídicamente relevante, y lo es, a través de los mecanismos constitucionales de protección al derecho a la intimidad, los cuales no circunscriben su alcance a cierta clase social económica o ilustrada, sino que se extienden, como no podía ser de otra forma, a todas las personas amparadas por la Constitución. (…)</w:t>
      </w:r>
    </w:p>
    <w:p w14:paraId="72FC92EB" w14:textId="77777777" w:rsidR="00700E8E" w:rsidRPr="003C4166" w:rsidRDefault="00700E8E" w:rsidP="00700E8E">
      <w:pPr>
        <w:spacing w:line="300" w:lineRule="auto"/>
        <w:ind w:left="708"/>
        <w:rPr>
          <w:rFonts w:ascii="Arial" w:hAnsi="Arial" w:cs="Arial"/>
          <w:i/>
          <w:iCs/>
          <w:color w:val="000000" w:themeColor="text1"/>
        </w:rPr>
      </w:pPr>
    </w:p>
    <w:p w14:paraId="5E9D301D" w14:textId="77777777" w:rsidR="00700E8E" w:rsidRPr="003C4166" w:rsidRDefault="00700E8E" w:rsidP="00700E8E">
      <w:pPr>
        <w:spacing w:line="300" w:lineRule="auto"/>
        <w:ind w:left="708"/>
        <w:jc w:val="both"/>
        <w:rPr>
          <w:rFonts w:ascii="Arial" w:hAnsi="Arial" w:cs="Arial"/>
          <w:color w:val="000000" w:themeColor="text1"/>
        </w:rPr>
      </w:pPr>
      <w:r w:rsidRPr="003C4166">
        <w:rPr>
          <w:rFonts w:ascii="Arial" w:hAnsi="Arial" w:cs="Arial"/>
          <w:i/>
          <w:iCs/>
          <w:color w:val="000000" w:themeColor="text1"/>
        </w:rPr>
        <w:t>(…) Reiteradamente esta Corporación ha señalado que el derecho a la intimidad permite y garantiza en los asociados, el poder contar con una esfera o espacio de vida privada no susceptible de la interferencia arbitraria de las demás personas, que al ser considerado un elemento esencial del ser, se concreta en el derecho a poder actuar libremente en la mencionada esfera o núcleo, en ejercicio de la libertad personal y familiar, sin más limitaciones que los derechos de los demás y el ordenamiento jurídico. En ese orden de ideas, y al no ser un espacio que forme parte del dominio público, obedece al estricto interés de la persona titular del derecho y por consiguiente no puede ser invadido por los demás”</w:t>
      </w:r>
      <w:r w:rsidRPr="003C4166">
        <w:rPr>
          <w:rStyle w:val="Refdenotaalpie"/>
          <w:rFonts w:ascii="Arial" w:hAnsi="Arial" w:cs="Arial"/>
          <w:i/>
          <w:iCs/>
          <w:color w:val="000000" w:themeColor="text1"/>
        </w:rPr>
        <w:footnoteReference w:id="1"/>
      </w:r>
      <w:r w:rsidRPr="003C4166">
        <w:rPr>
          <w:rFonts w:ascii="Arial" w:hAnsi="Arial" w:cs="Arial"/>
          <w:i/>
          <w:iCs/>
          <w:color w:val="000000" w:themeColor="text1"/>
        </w:rPr>
        <w:t xml:space="preserve">. </w:t>
      </w:r>
      <w:r w:rsidRPr="003C4166">
        <w:rPr>
          <w:rFonts w:ascii="Arial" w:hAnsi="Arial" w:cs="Arial"/>
          <w:color w:val="000000" w:themeColor="text1"/>
        </w:rPr>
        <w:t>(Los destacados son ajenosa al texto original).</w:t>
      </w:r>
    </w:p>
    <w:p w14:paraId="4F4BB45B" w14:textId="77777777" w:rsidR="00700E8E" w:rsidRPr="003C4166" w:rsidRDefault="00700E8E" w:rsidP="00700E8E">
      <w:pPr>
        <w:jc w:val="both"/>
        <w:rPr>
          <w:rFonts w:ascii="Arial" w:hAnsi="Arial" w:cs="Arial"/>
          <w:bCs/>
          <w:color w:val="000000" w:themeColor="text1"/>
        </w:rPr>
      </w:pPr>
    </w:p>
    <w:p w14:paraId="3EE29958" w14:textId="2F50D6A4" w:rsidR="00D276BE" w:rsidRPr="003C4166" w:rsidRDefault="00700E8E" w:rsidP="003C4166">
      <w:pPr>
        <w:jc w:val="both"/>
        <w:rPr>
          <w:rFonts w:ascii="Arial" w:hAnsi="Arial" w:cs="Arial"/>
          <w:color w:val="000000" w:themeColor="text1"/>
        </w:rPr>
      </w:pPr>
      <w:r w:rsidRPr="003C4166">
        <w:rPr>
          <w:rFonts w:ascii="Arial" w:hAnsi="Arial" w:cs="Arial"/>
          <w:bCs/>
          <w:color w:val="000000" w:themeColor="text1"/>
        </w:rPr>
        <w:t>Esa esfera íntima, magistralmente definida por nuestro máximo Tribunal en materia de derechos fundamentales, es la que se pretende proteger por medio de este Proyecto de Ley. Como mecanismo se propone “</w:t>
      </w:r>
      <w:r w:rsidRPr="003C4166">
        <w:rPr>
          <w:rFonts w:ascii="Arial" w:hAnsi="Arial" w:cs="Arial"/>
          <w:b/>
          <w:bCs/>
          <w:i/>
          <w:iCs/>
          <w:color w:val="000000" w:themeColor="text1"/>
          <w:u w:val="single"/>
        </w:rPr>
        <w:t>una mínima consideración particular y pública a su interioridad</w:t>
      </w:r>
      <w:r w:rsidRPr="003C4166">
        <w:rPr>
          <w:rFonts w:ascii="Arial" w:hAnsi="Arial" w:cs="Arial"/>
          <w:i/>
          <w:iCs/>
          <w:color w:val="000000" w:themeColor="text1"/>
        </w:rPr>
        <w:t>”</w:t>
      </w:r>
      <w:r w:rsidRPr="003C4166">
        <w:rPr>
          <w:rFonts w:ascii="Arial" w:hAnsi="Arial" w:cs="Arial"/>
          <w:color w:val="000000" w:themeColor="text1"/>
        </w:rPr>
        <w:t>, restringiendo las llamadas, mensajes de datos y de textos, correos electrónicos y mecanismos similares de recordatorios, cobranzas, que perturban el derecho a la intimidad durante la noche, los fines de semana y festivos, por parte del sector financiero.</w:t>
      </w:r>
    </w:p>
    <w:p w14:paraId="16219F2F" w14:textId="77777777" w:rsidR="00EF0E2B" w:rsidRPr="003C4166" w:rsidRDefault="00EF0E2B" w:rsidP="00EF0E2B">
      <w:pPr>
        <w:rPr>
          <w:rFonts w:ascii="Arial" w:hAnsi="Arial" w:cs="Arial"/>
          <w:color w:val="000000" w:themeColor="text1"/>
        </w:rPr>
      </w:pPr>
    </w:p>
    <w:p w14:paraId="22E49C3A" w14:textId="77777777" w:rsidR="00EF0E2B" w:rsidRPr="003C4166" w:rsidRDefault="00D276BE" w:rsidP="00D276BE">
      <w:pPr>
        <w:pStyle w:val="Prrafodelista"/>
        <w:numPr>
          <w:ilvl w:val="0"/>
          <w:numId w:val="7"/>
        </w:numPr>
        <w:rPr>
          <w:b/>
          <w:color w:val="000000" w:themeColor="text1"/>
        </w:rPr>
      </w:pPr>
      <w:r w:rsidRPr="003C4166">
        <w:rPr>
          <w:b/>
          <w:color w:val="000000" w:themeColor="text1"/>
        </w:rPr>
        <w:t>NECESIDAD Y CONVENIENCIA DE LA INICIATIVA</w:t>
      </w:r>
    </w:p>
    <w:p w14:paraId="63323049" w14:textId="77777777" w:rsidR="00AC7859" w:rsidRPr="003C4166" w:rsidRDefault="00AC7859" w:rsidP="00700E8E">
      <w:pPr>
        <w:rPr>
          <w:rFonts w:ascii="Arial" w:hAnsi="Arial" w:cs="Arial"/>
          <w:color w:val="000000" w:themeColor="text1"/>
        </w:rPr>
      </w:pPr>
    </w:p>
    <w:p w14:paraId="24C651D3" w14:textId="77777777" w:rsidR="00700E8E" w:rsidRPr="003C4166" w:rsidRDefault="00700E8E" w:rsidP="00700E8E">
      <w:pPr>
        <w:pStyle w:val="Default"/>
        <w:jc w:val="both"/>
        <w:rPr>
          <w:bCs/>
          <w:color w:val="000000" w:themeColor="text1"/>
          <w:sz w:val="22"/>
          <w:szCs w:val="22"/>
        </w:rPr>
      </w:pPr>
      <w:r w:rsidRPr="003C4166">
        <w:rPr>
          <w:bCs/>
          <w:color w:val="000000" w:themeColor="text1"/>
          <w:sz w:val="22"/>
          <w:szCs w:val="22"/>
        </w:rPr>
        <w:lastRenderedPageBreak/>
        <w:t xml:space="preserve">El artículo 15 de la Constitución Política consagra tres derechos fundamentales de trascendental importancia para la dignidad humana, núcleo esencial del ordenamiento jurídico en un Estado Social y Democrático de Derechos. Son ellos el derecho a la intimidad personal y familiar, el buen nombre y el </w:t>
      </w:r>
      <w:r w:rsidRPr="003C4166">
        <w:rPr>
          <w:bCs/>
          <w:i/>
          <w:iCs/>
          <w:color w:val="000000" w:themeColor="text1"/>
          <w:sz w:val="22"/>
          <w:szCs w:val="22"/>
        </w:rPr>
        <w:t xml:space="preserve">habeas data. </w:t>
      </w:r>
      <w:r w:rsidRPr="003C4166">
        <w:rPr>
          <w:bCs/>
          <w:color w:val="000000" w:themeColor="text1"/>
          <w:sz w:val="22"/>
          <w:szCs w:val="22"/>
        </w:rPr>
        <w:t xml:space="preserve">Para los fines de este Proyecto de Ley, interesa el primero de ellos, consagrado así en la Carta Magna: </w:t>
      </w:r>
      <w:r w:rsidRPr="003C4166">
        <w:rPr>
          <w:bCs/>
          <w:i/>
          <w:iCs/>
          <w:color w:val="000000" w:themeColor="text1"/>
          <w:sz w:val="22"/>
          <w:szCs w:val="22"/>
        </w:rPr>
        <w:t>“Todas las personas tienen derecho a su intimidad personal y familiar (…) y el Estado debe respetarlos y hacerlos respetar”.</w:t>
      </w:r>
    </w:p>
    <w:p w14:paraId="673DE1D1" w14:textId="77777777" w:rsidR="00700E8E" w:rsidRPr="003C4166" w:rsidRDefault="00700E8E" w:rsidP="00700E8E">
      <w:pPr>
        <w:pStyle w:val="Default"/>
        <w:jc w:val="both"/>
        <w:rPr>
          <w:bCs/>
          <w:color w:val="000000" w:themeColor="text1"/>
          <w:sz w:val="22"/>
          <w:szCs w:val="22"/>
        </w:rPr>
      </w:pPr>
    </w:p>
    <w:p w14:paraId="4C0D0AC8" w14:textId="77777777" w:rsidR="00700E8E" w:rsidRPr="003C4166" w:rsidRDefault="00700E8E" w:rsidP="00700E8E">
      <w:pPr>
        <w:pStyle w:val="Default"/>
        <w:jc w:val="both"/>
        <w:rPr>
          <w:color w:val="000000" w:themeColor="text1"/>
          <w:sz w:val="22"/>
          <w:szCs w:val="22"/>
        </w:rPr>
      </w:pPr>
      <w:r w:rsidRPr="003C4166">
        <w:rPr>
          <w:color w:val="000000" w:themeColor="text1"/>
          <w:sz w:val="22"/>
          <w:szCs w:val="22"/>
        </w:rPr>
        <w:t>Se trata de la protección de apenas un aspecto del derecho fundamental a la intimidad, y no de una regulación integral del mismo, por lo que no se hace necesario tramitarla como Ley Estatutaria, sino que es propia del trámite ordinario. Por su materia, corresponde el primer debate en cada Cámara, a las Comisiones Primeras Constitucionales. Al respecto, es oportuno citar lo que, sobre la materia, ha dicho la Corte Constitucional:</w:t>
      </w:r>
    </w:p>
    <w:p w14:paraId="2B637E2A" w14:textId="77777777" w:rsidR="00700E8E" w:rsidRPr="003C4166" w:rsidRDefault="00700E8E" w:rsidP="00700E8E">
      <w:pPr>
        <w:pStyle w:val="Default"/>
        <w:jc w:val="both"/>
        <w:rPr>
          <w:color w:val="000000" w:themeColor="text1"/>
          <w:sz w:val="22"/>
          <w:szCs w:val="22"/>
        </w:rPr>
      </w:pPr>
    </w:p>
    <w:p w14:paraId="22EBCD21" w14:textId="77777777" w:rsidR="00700E8E" w:rsidRPr="003C4166" w:rsidRDefault="00700E8E" w:rsidP="00700E8E">
      <w:pPr>
        <w:spacing w:line="300" w:lineRule="auto"/>
        <w:ind w:left="708"/>
        <w:jc w:val="both"/>
        <w:rPr>
          <w:rFonts w:ascii="Arial" w:hAnsi="Arial" w:cs="Arial"/>
          <w:i/>
          <w:iCs/>
          <w:color w:val="000000" w:themeColor="text1"/>
        </w:rPr>
      </w:pPr>
      <w:r w:rsidRPr="003C4166">
        <w:rPr>
          <w:rFonts w:ascii="Arial" w:hAnsi="Arial" w:cs="Arial"/>
          <w:i/>
          <w:iCs/>
          <w:color w:val="000000" w:themeColor="text1"/>
        </w:rPr>
        <w:t xml:space="preserve">“4.5.6. Finalmente debe ser referida la reciente </w:t>
      </w:r>
      <w:hyperlink r:id="rId10" w:anchor="/vid/663053793">
        <w:r w:rsidRPr="003C4166">
          <w:rPr>
            <w:rStyle w:val="Hipervnculo"/>
            <w:rFonts w:ascii="Arial" w:hAnsi="Arial" w:cs="Arial"/>
            <w:i/>
            <w:iCs/>
            <w:color w:val="000000" w:themeColor="text1"/>
          </w:rPr>
          <w:t>Sentencia C-007 de 2017</w:t>
        </w:r>
      </w:hyperlink>
      <w:r w:rsidRPr="003C4166">
        <w:rPr>
          <w:rFonts w:ascii="Arial" w:hAnsi="Arial" w:cs="Arial"/>
          <w:i/>
          <w:iCs/>
          <w:color w:val="000000" w:themeColor="text1"/>
        </w:rPr>
        <w:t xml:space="preserve">, que examinó la demanda de inconstitucionalidad que fuere presentada en contra de los </w:t>
      </w:r>
      <w:hyperlink r:id="rId11" w:anchor="/vid/336265861/node/74..81">
        <w:r w:rsidRPr="003C4166">
          <w:rPr>
            <w:rStyle w:val="Hipervnculo"/>
            <w:rFonts w:ascii="Arial" w:hAnsi="Arial" w:cs="Arial"/>
            <w:i/>
            <w:iCs/>
            <w:color w:val="000000" w:themeColor="text1"/>
          </w:rPr>
          <w:t>artículos 74 a 81</w:t>
        </w:r>
      </w:hyperlink>
      <w:r w:rsidRPr="003C4166">
        <w:rPr>
          <w:rFonts w:ascii="Arial" w:hAnsi="Arial" w:cs="Arial"/>
          <w:i/>
          <w:iCs/>
          <w:color w:val="000000" w:themeColor="text1"/>
        </w:rPr>
        <w:t xml:space="preserve"> de la </w:t>
      </w:r>
      <w:hyperlink r:id="rId12" w:anchor="/vid/336265861">
        <w:r w:rsidRPr="003C4166">
          <w:rPr>
            <w:rStyle w:val="Hipervnculo"/>
            <w:rFonts w:ascii="Arial" w:hAnsi="Arial" w:cs="Arial"/>
            <w:i/>
            <w:iCs/>
            <w:color w:val="000000" w:themeColor="text1"/>
          </w:rPr>
          <w:t>Ley 1437 de 2011</w:t>
        </w:r>
      </w:hyperlink>
      <w:r w:rsidRPr="003C4166">
        <w:rPr>
          <w:rFonts w:ascii="Arial" w:hAnsi="Arial" w:cs="Arial"/>
          <w:i/>
          <w:iCs/>
          <w:color w:val="000000" w:themeColor="text1"/>
        </w:rPr>
        <w:t xml:space="preserve"> </w:t>
      </w:r>
      <w:hyperlink r:id="rId13" w:anchor="/vid/336265861">
        <w:r w:rsidRPr="003C4166">
          <w:rPr>
            <w:rStyle w:val="Hipervnculo"/>
            <w:rFonts w:ascii="Arial" w:hAnsi="Arial" w:cs="Arial"/>
            <w:i/>
            <w:iCs/>
            <w:color w:val="000000" w:themeColor="text1"/>
          </w:rPr>
          <w:t>Código de Procedimiento Administrativo y de lo Contencioso Administrativo</w:t>
        </w:r>
      </w:hyperlink>
      <w:r w:rsidRPr="003C4166">
        <w:rPr>
          <w:rFonts w:ascii="Arial" w:hAnsi="Arial" w:cs="Arial"/>
          <w:i/>
          <w:iCs/>
          <w:color w:val="000000" w:themeColor="text1"/>
        </w:rPr>
        <w:t xml:space="preserve"> – </w:t>
      </w:r>
      <w:hyperlink r:id="rId14" w:anchor="/vid/336265861">
        <w:r w:rsidRPr="003C4166">
          <w:rPr>
            <w:rStyle w:val="Hipervnculo"/>
            <w:rFonts w:ascii="Arial" w:hAnsi="Arial" w:cs="Arial"/>
            <w:i/>
            <w:iCs/>
            <w:color w:val="000000" w:themeColor="text1"/>
          </w:rPr>
          <w:t>CPACA</w:t>
        </w:r>
      </w:hyperlink>
      <w:r w:rsidRPr="003C4166">
        <w:rPr>
          <w:rFonts w:ascii="Arial" w:hAnsi="Arial" w:cs="Arial"/>
          <w:i/>
          <w:iCs/>
          <w:color w:val="000000" w:themeColor="text1"/>
        </w:rPr>
        <w:t>, que regulan el tema de los recursos en contra de los actos administrativos, que habían sido acusados de violar la reserva de ley estatutaria. Dicho fallo reconstruye la línea jurisprudencial a la que se ha venido haciendo alusión, identifica las reglas aplicables y precisa los criterios de evaluación. Allí se señaló a modo de conclusión:</w:t>
      </w:r>
    </w:p>
    <w:p w14:paraId="4B29237C" w14:textId="77777777" w:rsidR="00700E8E" w:rsidRPr="003C4166" w:rsidRDefault="00700E8E" w:rsidP="00700E8E">
      <w:pPr>
        <w:spacing w:line="300" w:lineRule="auto"/>
        <w:ind w:left="708"/>
        <w:jc w:val="both"/>
        <w:rPr>
          <w:rFonts w:ascii="Arial" w:hAnsi="Arial" w:cs="Arial"/>
          <w:i/>
          <w:iCs/>
          <w:color w:val="000000" w:themeColor="text1"/>
        </w:rPr>
      </w:pPr>
      <w:r w:rsidRPr="003C4166">
        <w:rPr>
          <w:rFonts w:ascii="Arial" w:hAnsi="Arial" w:cs="Arial"/>
          <w:i/>
          <w:iCs/>
          <w:color w:val="000000" w:themeColor="text1"/>
        </w:rPr>
        <w:t>‘8. En suma, dos premisas guían la identificación del trámite legislativo que sujeta a una norma: (i) la reserva de ley estatutaria se rige por una interpretación restrictiva, por lo que la regla general se mantiene a favor del Legislador ordinario y (ii) el análisis de la normativa objeto de cuestionamiento debe partir de su contenido material, sin importar su identificación formal. Adicionalmente, los criterios determinantes para establecer la aplicabilidad de la reserva de ley estatutaria en materia de derechos y deberes fundamentales son que: (i) efectivamente se trate de derechos y deberes de carácter fundamental; (ii) el objeto directo de la regulación sea el desarrollo del régimen de derechos fundamentales o el derecho; (iii) la normativa pretenda regular de manera integral, estructural y completa un derecho fundamental; (iv) verse sobre el núcleo esencial y los principios básicos del derecho o deber, es decir, que regule los aspectos inherentes al ejercicio del derecho; y (v) se refiera a la afectación o el desarrollo de los elementos estructurales del derecho, esto es, que consagre límites, restricciones, excepciones y prohibiciones que afecten la estructura general y los principios del derecho.’</w:t>
      </w:r>
    </w:p>
    <w:p w14:paraId="0443243E" w14:textId="77777777" w:rsidR="00700E8E" w:rsidRPr="003C4166" w:rsidRDefault="00700E8E" w:rsidP="00700E8E">
      <w:pPr>
        <w:spacing w:line="300" w:lineRule="auto"/>
        <w:ind w:left="708"/>
        <w:jc w:val="both"/>
        <w:rPr>
          <w:rFonts w:ascii="Arial" w:hAnsi="Arial" w:cs="Arial"/>
          <w:i/>
          <w:iCs/>
          <w:color w:val="000000" w:themeColor="text1"/>
        </w:rPr>
      </w:pPr>
    </w:p>
    <w:p w14:paraId="1ED209FC" w14:textId="77777777" w:rsidR="00700E8E" w:rsidRPr="003C4166" w:rsidRDefault="00700E8E" w:rsidP="00700E8E">
      <w:pPr>
        <w:spacing w:line="300" w:lineRule="auto"/>
        <w:ind w:left="708"/>
        <w:jc w:val="both"/>
        <w:rPr>
          <w:rFonts w:ascii="Arial" w:hAnsi="Arial" w:cs="Arial"/>
          <w:i/>
          <w:iCs/>
          <w:color w:val="000000" w:themeColor="text1"/>
        </w:rPr>
      </w:pPr>
      <w:r w:rsidRPr="003C4166">
        <w:rPr>
          <w:rFonts w:ascii="Arial" w:hAnsi="Arial" w:cs="Arial"/>
          <w:i/>
          <w:iCs/>
          <w:color w:val="000000" w:themeColor="text1"/>
        </w:rPr>
        <w:t xml:space="preserve">4.5.7. Adicionalmente debe considerarse conforme fue expuesto en la </w:t>
      </w:r>
      <w:hyperlink r:id="rId15" w:anchor="/vid/339085174">
        <w:r w:rsidRPr="003C4166">
          <w:rPr>
            <w:rStyle w:val="Hipervnculo"/>
            <w:rFonts w:ascii="Arial" w:hAnsi="Arial" w:cs="Arial"/>
            <w:i/>
            <w:iCs/>
            <w:color w:val="000000" w:themeColor="text1"/>
          </w:rPr>
          <w:t>Sentencia C-818 de 2011</w:t>
        </w:r>
      </w:hyperlink>
      <w:r w:rsidRPr="003C4166">
        <w:rPr>
          <w:rFonts w:ascii="Arial" w:hAnsi="Arial" w:cs="Arial"/>
          <w:i/>
          <w:iCs/>
          <w:color w:val="000000" w:themeColor="text1"/>
        </w:rPr>
        <w:t>, que al evaluar la violación de la reserva de ley estatutaria, debe darse prelación a la integralidad y los criterios materiales de regulación:</w:t>
      </w:r>
    </w:p>
    <w:p w14:paraId="76A06C92" w14:textId="4475CEA5" w:rsidR="00700E8E" w:rsidRPr="003C4166" w:rsidRDefault="00700E8E" w:rsidP="003C4166">
      <w:pPr>
        <w:spacing w:line="300" w:lineRule="auto"/>
        <w:ind w:left="708"/>
        <w:jc w:val="both"/>
        <w:rPr>
          <w:rFonts w:ascii="Arial" w:hAnsi="Arial" w:cs="Arial"/>
          <w:i/>
          <w:iCs/>
          <w:color w:val="000000" w:themeColor="text1"/>
        </w:rPr>
      </w:pPr>
      <w:r w:rsidRPr="003C4166">
        <w:rPr>
          <w:rFonts w:ascii="Arial" w:hAnsi="Arial" w:cs="Arial"/>
          <w:i/>
          <w:iCs/>
          <w:color w:val="000000" w:themeColor="text1"/>
        </w:rPr>
        <w:t xml:space="preserve">‘En efecto, de la jurisprudencia de la Corte sobre leyes estatutarias se observa una prelación de los criterios materiales sobre los puramente formales o nominales. En </w:t>
      </w:r>
      <w:r w:rsidRPr="003C4166">
        <w:rPr>
          <w:rFonts w:ascii="Arial" w:hAnsi="Arial" w:cs="Arial"/>
          <w:i/>
          <w:iCs/>
          <w:color w:val="000000" w:themeColor="text1"/>
        </w:rPr>
        <w:lastRenderedPageBreak/>
        <w:t>consecuencia, tal y como se dijo en el Sentencia C-646 de 2001 si ello es así, “el trámite legislativo a seguir será el que corresponda a cada materia, independientemente de su inclusión dentro de una ley cuyo nombre pareciera exigir otro procedimiento. Lo que la Constitución requiere es que los asuntos señalados en el artículo 152, delimitados según criterios materiales claros, sigan el trámite previsto en el artículo 153, pero no ordena que siempre que algún aspecto de tales asuntos sea regulado dentro de una ley ordinaria, el proyecto como un todo deba seguir el trámite estatutario.’</w:t>
      </w:r>
    </w:p>
    <w:p w14:paraId="49DEBC08" w14:textId="00E9E11F" w:rsidR="00700E8E" w:rsidRPr="003C4166" w:rsidRDefault="00700E8E" w:rsidP="003C4166">
      <w:pPr>
        <w:spacing w:line="300" w:lineRule="auto"/>
        <w:ind w:left="708"/>
        <w:jc w:val="both"/>
        <w:rPr>
          <w:rFonts w:ascii="Arial" w:hAnsi="Arial" w:cs="Arial"/>
          <w:i/>
          <w:iCs/>
          <w:color w:val="000000" w:themeColor="text1"/>
        </w:rPr>
      </w:pPr>
      <w:r w:rsidRPr="003C4166">
        <w:rPr>
          <w:rFonts w:ascii="Arial" w:hAnsi="Arial" w:cs="Arial"/>
          <w:i/>
          <w:iCs/>
          <w:color w:val="000000" w:themeColor="text1"/>
        </w:rPr>
        <w:t>(…) Y respecto de los elementos relevantes del núcleo esencial en las leyes estatutarias dijo que</w:t>
      </w:r>
    </w:p>
    <w:p w14:paraId="1E36C5D7" w14:textId="2C107496" w:rsidR="000354FB" w:rsidRPr="003C4166" w:rsidRDefault="00700E8E" w:rsidP="003C4166">
      <w:pPr>
        <w:spacing w:line="300" w:lineRule="auto"/>
        <w:ind w:left="708"/>
        <w:jc w:val="both"/>
        <w:rPr>
          <w:rFonts w:ascii="Arial" w:hAnsi="Arial" w:cs="Arial"/>
          <w:i/>
          <w:iCs/>
          <w:color w:val="000000" w:themeColor="text1"/>
        </w:rPr>
      </w:pPr>
      <w:r w:rsidRPr="003C4166">
        <w:rPr>
          <w:rFonts w:ascii="Arial" w:hAnsi="Arial" w:cs="Arial"/>
          <w:i/>
          <w:iCs/>
          <w:color w:val="000000" w:themeColor="text1"/>
        </w:rPr>
        <w:t>‘Una segunda respuesta que se ha expuesto en la jurisprudencia constitucional es que es competencia del legislador estatutario desarrollar aspectos importantes del núcleo esencial, con lo que parece sugerirse que tal núcleo es delineado tanto por el constituyente como por el legislador estatutario. Algunos de los asuntos importantes del núcleo esencial que son propios de las leyes estatutarias y que han sido señalados por la Corte son: (i) la consagración de límites, restricciones, excepciones y prohibiciones, y (ii) los principios básicos que guían su ejercicio. Otro elemento que puede deducirse a partir de un examen de la estructura de los derechos fundamentales es la definición de las prerrogativas que se desprenden del derecho para los titulares y que se convierten en obligaciones para los sujetos pasivos.”</w:t>
      </w:r>
      <w:r w:rsidRPr="003C4166">
        <w:rPr>
          <w:rStyle w:val="Refdenotaalpie"/>
          <w:rFonts w:ascii="Arial" w:hAnsi="Arial" w:cs="Arial"/>
          <w:i/>
          <w:iCs/>
          <w:color w:val="000000" w:themeColor="text1"/>
        </w:rPr>
        <w:footnoteReference w:id="2"/>
      </w:r>
      <w:r w:rsidRPr="003C4166">
        <w:rPr>
          <w:rFonts w:ascii="Arial" w:hAnsi="Arial" w:cs="Arial"/>
          <w:i/>
          <w:iCs/>
          <w:color w:val="000000" w:themeColor="text1"/>
        </w:rPr>
        <w:t xml:space="preserve"> (Resaltado dentro del texto)</w:t>
      </w:r>
    </w:p>
    <w:p w14:paraId="36508C51" w14:textId="77777777" w:rsidR="000354FB" w:rsidRPr="003C4166" w:rsidRDefault="000354FB" w:rsidP="00E91571">
      <w:pPr>
        <w:adjustRightInd w:val="0"/>
        <w:spacing w:after="0" w:line="240" w:lineRule="auto"/>
        <w:contextualSpacing/>
        <w:textAlignment w:val="center"/>
        <w:rPr>
          <w:rFonts w:ascii="Arial" w:eastAsia="Times New Roman" w:hAnsi="Arial" w:cs="Arial"/>
          <w:b/>
          <w:color w:val="000000" w:themeColor="text1"/>
          <w:lang w:eastAsia="es-CO"/>
        </w:rPr>
      </w:pPr>
    </w:p>
    <w:p w14:paraId="4B23D6A4" w14:textId="28507D50" w:rsidR="000354FB" w:rsidRPr="003C4166" w:rsidRDefault="00F85C68" w:rsidP="00F85C68">
      <w:pPr>
        <w:pStyle w:val="Prrafodelista"/>
        <w:numPr>
          <w:ilvl w:val="0"/>
          <w:numId w:val="7"/>
        </w:numPr>
        <w:adjustRightInd w:val="0"/>
        <w:contextualSpacing/>
        <w:textAlignment w:val="center"/>
        <w:rPr>
          <w:rFonts w:eastAsia="Times New Roman"/>
          <w:b/>
          <w:color w:val="000000" w:themeColor="text1"/>
          <w:lang w:eastAsia="es-CO"/>
        </w:rPr>
      </w:pPr>
      <w:r w:rsidRPr="003C4166">
        <w:rPr>
          <w:rFonts w:eastAsia="Times New Roman"/>
          <w:b/>
          <w:color w:val="000000" w:themeColor="text1"/>
          <w:lang w:eastAsia="es-CO"/>
        </w:rPr>
        <w:t xml:space="preserve">CAUSALES DE IMPEDIMENTO </w:t>
      </w:r>
      <w:r w:rsidR="007F17F3" w:rsidRPr="003C4166">
        <w:rPr>
          <w:rFonts w:eastAsia="Times New Roman"/>
          <w:b/>
          <w:color w:val="000000" w:themeColor="text1"/>
          <w:lang w:eastAsia="es-CO"/>
        </w:rPr>
        <w:t xml:space="preserve">En cumplimiento del artículo 3 de la ley 2003 de 2019 </w:t>
      </w:r>
    </w:p>
    <w:p w14:paraId="38EE3BE7" w14:textId="77777777" w:rsidR="000354FB" w:rsidRPr="003C4166" w:rsidRDefault="000354FB" w:rsidP="00E91571">
      <w:pPr>
        <w:adjustRightInd w:val="0"/>
        <w:spacing w:after="0" w:line="240" w:lineRule="auto"/>
        <w:contextualSpacing/>
        <w:textAlignment w:val="center"/>
        <w:rPr>
          <w:rFonts w:ascii="Arial" w:eastAsia="Times New Roman" w:hAnsi="Arial" w:cs="Arial"/>
          <w:b/>
          <w:color w:val="000000" w:themeColor="text1"/>
          <w:lang w:eastAsia="es-CO"/>
        </w:rPr>
      </w:pPr>
    </w:p>
    <w:p w14:paraId="267CDD18" w14:textId="77777777" w:rsidR="000354FB" w:rsidRPr="003C4166" w:rsidRDefault="000354FB" w:rsidP="00E91571">
      <w:pPr>
        <w:adjustRightInd w:val="0"/>
        <w:spacing w:after="0" w:line="240" w:lineRule="auto"/>
        <w:contextualSpacing/>
        <w:textAlignment w:val="center"/>
        <w:rPr>
          <w:rFonts w:ascii="Arial" w:eastAsia="Times New Roman" w:hAnsi="Arial" w:cs="Arial"/>
          <w:b/>
          <w:color w:val="000000" w:themeColor="text1"/>
          <w:lang w:eastAsia="es-CO"/>
        </w:rPr>
      </w:pPr>
    </w:p>
    <w:p w14:paraId="1A9A9D50" w14:textId="77777777" w:rsidR="009B6968" w:rsidRPr="003C4166" w:rsidRDefault="009B6968" w:rsidP="005F6815">
      <w:pPr>
        <w:pStyle w:val="Sinespaciado"/>
        <w:jc w:val="both"/>
        <w:rPr>
          <w:rFonts w:ascii="Arial" w:hAnsi="Arial" w:cs="Arial"/>
          <w:lang w:val="es-ES_tradnl" w:eastAsia="es-ES_tradnl"/>
        </w:rPr>
      </w:pPr>
      <w:r w:rsidRPr="003C4166">
        <w:rPr>
          <w:rFonts w:ascii="Arial" w:hAnsi="Arial" w:cs="Arial"/>
          <w:b/>
          <w:bCs/>
        </w:rPr>
        <w:t>ARTÍCULO </w:t>
      </w:r>
      <w:bookmarkStart w:id="0" w:name="1"/>
      <w:r w:rsidRPr="003C4166">
        <w:rPr>
          <w:rFonts w:ascii="Arial" w:hAnsi="Arial" w:cs="Arial"/>
          <w:b/>
          <w:bCs/>
        </w:rPr>
        <w:t> </w:t>
      </w:r>
      <w:bookmarkEnd w:id="0"/>
      <w:r w:rsidRPr="003C4166">
        <w:rPr>
          <w:rFonts w:ascii="Arial" w:hAnsi="Arial" w:cs="Arial"/>
          <w:b/>
          <w:bCs/>
        </w:rPr>
        <w:t>1°</w:t>
      </w:r>
      <w:r w:rsidRPr="003C4166">
        <w:rPr>
          <w:rStyle w:val="apple-converted-space"/>
          <w:rFonts w:ascii="Arial" w:hAnsi="Arial" w:cs="Arial"/>
          <w:color w:val="000000" w:themeColor="text1"/>
        </w:rPr>
        <w:t> </w:t>
      </w:r>
      <w:r w:rsidRPr="003C4166">
        <w:rPr>
          <w:rFonts w:ascii="Arial" w:hAnsi="Arial" w:cs="Arial"/>
        </w:rPr>
        <w:t>El artículo</w:t>
      </w:r>
      <w:r w:rsidRPr="003C4166">
        <w:rPr>
          <w:rStyle w:val="apple-converted-space"/>
          <w:rFonts w:ascii="Arial" w:hAnsi="Arial" w:cs="Arial"/>
          <w:color w:val="000000" w:themeColor="text1"/>
        </w:rPr>
        <w:t> </w:t>
      </w:r>
      <w:hyperlink r:id="rId16" w:anchor="286" w:history="1">
        <w:r w:rsidRPr="003C4166">
          <w:rPr>
            <w:rStyle w:val="Hipervnculo"/>
            <w:rFonts w:ascii="Arial" w:hAnsi="Arial" w:cs="Arial"/>
            <w:color w:val="000000" w:themeColor="text1"/>
          </w:rPr>
          <w:t>286</w:t>
        </w:r>
        <w:r w:rsidRPr="003C4166">
          <w:rPr>
            <w:rStyle w:val="apple-converted-space"/>
            <w:rFonts w:ascii="Arial" w:hAnsi="Arial" w:cs="Arial"/>
            <w:color w:val="000000" w:themeColor="text1"/>
          </w:rPr>
          <w:t> </w:t>
        </w:r>
      </w:hyperlink>
      <w:r w:rsidRPr="003C4166">
        <w:rPr>
          <w:rFonts w:ascii="Arial" w:hAnsi="Arial" w:cs="Arial"/>
        </w:rPr>
        <w:t>de la Ley 5 de 1992 quedará así:</w:t>
      </w:r>
    </w:p>
    <w:p w14:paraId="3891C467" w14:textId="77777777" w:rsidR="009B6968" w:rsidRPr="003C4166" w:rsidRDefault="009B6968" w:rsidP="005F6815">
      <w:pPr>
        <w:pStyle w:val="Sinespaciado"/>
        <w:jc w:val="both"/>
        <w:rPr>
          <w:rFonts w:ascii="Arial" w:hAnsi="Arial" w:cs="Arial"/>
        </w:rPr>
      </w:pPr>
      <w:r w:rsidRPr="003C4166">
        <w:rPr>
          <w:rFonts w:ascii="Arial" w:hAnsi="Arial" w:cs="Arial"/>
        </w:rPr>
        <w:t> </w:t>
      </w:r>
    </w:p>
    <w:p w14:paraId="4B28820D" w14:textId="77777777" w:rsidR="009B6968" w:rsidRPr="003C4166" w:rsidRDefault="009B6968" w:rsidP="005F6815">
      <w:pPr>
        <w:pStyle w:val="Sinespaciado"/>
        <w:jc w:val="both"/>
        <w:rPr>
          <w:rFonts w:ascii="Arial" w:hAnsi="Arial" w:cs="Arial"/>
        </w:rPr>
      </w:pPr>
      <w:r w:rsidRPr="003C4166">
        <w:rPr>
          <w:rFonts w:ascii="Arial" w:hAnsi="Arial" w:cs="Arial"/>
          <w:b/>
          <w:bCs/>
        </w:rPr>
        <w:t>ARTÍCULO 286</w:t>
      </w:r>
      <w:r w:rsidRPr="003C4166">
        <w:rPr>
          <w:rFonts w:ascii="Arial" w:hAnsi="Arial" w:cs="Arial"/>
        </w:rPr>
        <w:t>.</w:t>
      </w:r>
      <w:r w:rsidRPr="003C4166">
        <w:rPr>
          <w:rStyle w:val="apple-converted-space"/>
          <w:rFonts w:ascii="Arial" w:hAnsi="Arial" w:cs="Arial"/>
          <w:b/>
          <w:bCs/>
          <w:color w:val="000000" w:themeColor="text1"/>
        </w:rPr>
        <w:t> </w:t>
      </w:r>
      <w:r w:rsidRPr="003C4166">
        <w:rPr>
          <w:rFonts w:ascii="Arial" w:hAnsi="Arial" w:cs="Arial"/>
          <w:b/>
          <w:bCs/>
        </w:rPr>
        <w:t>Régimen de conflicto de interés de los congresistas</w:t>
      </w:r>
      <w:r w:rsidRPr="003C4166">
        <w:rPr>
          <w:rFonts w:ascii="Arial" w:hAnsi="Arial" w:cs="Arial"/>
        </w:rPr>
        <w:t>. Todos los congresistas deberán declarar los conflictos De intereses que pudieran surgir en ejercicio de sus funciones.</w:t>
      </w:r>
    </w:p>
    <w:p w14:paraId="6C12165F" w14:textId="77777777" w:rsidR="009B6968" w:rsidRPr="003C4166" w:rsidRDefault="009B6968" w:rsidP="005F6815">
      <w:pPr>
        <w:pStyle w:val="Sinespaciado"/>
        <w:jc w:val="both"/>
        <w:rPr>
          <w:rFonts w:ascii="Arial" w:hAnsi="Arial" w:cs="Arial"/>
        </w:rPr>
      </w:pPr>
      <w:r w:rsidRPr="003C4166">
        <w:rPr>
          <w:rFonts w:ascii="Arial" w:hAnsi="Arial" w:cs="Arial"/>
        </w:rPr>
        <w:t> </w:t>
      </w:r>
    </w:p>
    <w:p w14:paraId="0CF118B3" w14:textId="77777777" w:rsidR="009B6968" w:rsidRPr="003C4166" w:rsidRDefault="009B6968" w:rsidP="005F6815">
      <w:pPr>
        <w:pStyle w:val="Sinespaciado"/>
        <w:jc w:val="both"/>
        <w:rPr>
          <w:rFonts w:ascii="Arial" w:hAnsi="Arial" w:cs="Arial"/>
        </w:rPr>
      </w:pPr>
      <w:r w:rsidRPr="003C4166">
        <w:rPr>
          <w:rFonts w:ascii="Arial" w:hAnsi="Arial" w:cs="Arial"/>
        </w:rPr>
        <w:t>Se entiende como conflicto de interés una situación donde la discusión o votación de un proyecto de ley o acto legislativo o artículo, pueda resultar en un beneficio particular, actual y directo a favor del congresista.</w:t>
      </w:r>
    </w:p>
    <w:p w14:paraId="184D4AF2" w14:textId="77777777" w:rsidR="009B6968" w:rsidRPr="003C4166" w:rsidRDefault="009B6968" w:rsidP="005F6815">
      <w:pPr>
        <w:pStyle w:val="Sinespaciado"/>
        <w:jc w:val="both"/>
        <w:rPr>
          <w:rFonts w:ascii="Arial" w:hAnsi="Arial" w:cs="Arial"/>
        </w:rPr>
      </w:pPr>
      <w:r w:rsidRPr="003C4166">
        <w:rPr>
          <w:rFonts w:ascii="Arial" w:hAnsi="Arial" w:cs="Arial"/>
        </w:rPr>
        <w:t> </w:t>
      </w:r>
    </w:p>
    <w:p w14:paraId="6840D711" w14:textId="77777777" w:rsidR="009B6968" w:rsidRPr="003C4166" w:rsidRDefault="009B6968" w:rsidP="005F6815">
      <w:pPr>
        <w:pStyle w:val="Sinespaciado"/>
        <w:jc w:val="both"/>
        <w:rPr>
          <w:rFonts w:ascii="Arial" w:hAnsi="Arial" w:cs="Arial"/>
        </w:rPr>
      </w:pPr>
      <w:r w:rsidRPr="003C4166">
        <w:rPr>
          <w:rFonts w:ascii="Arial" w:hAnsi="Arial" w:cs="Arial"/>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1A878703" w14:textId="77777777" w:rsidR="009B6968" w:rsidRPr="003C4166" w:rsidRDefault="009B6968" w:rsidP="005F6815">
      <w:pPr>
        <w:pStyle w:val="Sinespaciado"/>
        <w:jc w:val="both"/>
        <w:rPr>
          <w:rFonts w:ascii="Arial" w:hAnsi="Arial" w:cs="Arial"/>
        </w:rPr>
      </w:pPr>
      <w:r w:rsidRPr="003C4166">
        <w:rPr>
          <w:rFonts w:ascii="Arial" w:hAnsi="Arial" w:cs="Arial"/>
        </w:rPr>
        <w:t> </w:t>
      </w:r>
    </w:p>
    <w:p w14:paraId="5C533DC7" w14:textId="77777777" w:rsidR="009B6968" w:rsidRPr="003C4166" w:rsidRDefault="009B6968" w:rsidP="005F6815">
      <w:pPr>
        <w:pStyle w:val="Sinespaciado"/>
        <w:jc w:val="both"/>
        <w:rPr>
          <w:rFonts w:ascii="Arial" w:hAnsi="Arial" w:cs="Arial"/>
        </w:rPr>
      </w:pPr>
      <w:r w:rsidRPr="003C4166">
        <w:rPr>
          <w:rFonts w:ascii="Arial" w:hAnsi="Arial" w:cs="Arial"/>
        </w:rPr>
        <w:t>b) Beneficio actual: aquel que efectivamente se configura en las circunstancias presentes y existentes al momento en el que el congresista participa de la decisión</w:t>
      </w:r>
      <w:r w:rsidRPr="003C4166">
        <w:rPr>
          <w:rStyle w:val="apple-converted-space"/>
          <w:rFonts w:ascii="Arial" w:hAnsi="Arial" w:cs="Arial"/>
          <w:color w:val="000000" w:themeColor="text1"/>
        </w:rPr>
        <w:t> </w:t>
      </w:r>
    </w:p>
    <w:p w14:paraId="0075E446" w14:textId="77777777" w:rsidR="009B6968" w:rsidRPr="003C4166" w:rsidRDefault="009B6968" w:rsidP="005F6815">
      <w:pPr>
        <w:pStyle w:val="Sinespaciado"/>
        <w:jc w:val="both"/>
        <w:rPr>
          <w:rFonts w:ascii="Arial" w:hAnsi="Arial" w:cs="Arial"/>
        </w:rPr>
      </w:pPr>
      <w:r w:rsidRPr="003C4166">
        <w:rPr>
          <w:rFonts w:ascii="Arial" w:hAnsi="Arial" w:cs="Arial"/>
        </w:rPr>
        <w:t> </w:t>
      </w:r>
    </w:p>
    <w:p w14:paraId="45C2F0E6" w14:textId="77777777" w:rsidR="009B6968" w:rsidRPr="003C4166" w:rsidRDefault="009B6968" w:rsidP="005F6815">
      <w:pPr>
        <w:pStyle w:val="Sinespaciado"/>
        <w:jc w:val="both"/>
        <w:rPr>
          <w:rFonts w:ascii="Arial" w:hAnsi="Arial" w:cs="Arial"/>
        </w:rPr>
      </w:pPr>
      <w:r w:rsidRPr="003C4166">
        <w:rPr>
          <w:rFonts w:ascii="Arial" w:hAnsi="Arial" w:cs="Arial"/>
        </w:rPr>
        <w:lastRenderedPageBreak/>
        <w:t>c) Beneficio directo: aquel que se produzca de forma específica respecto del congresista, de su cónyuge, compañero o compañera permanente, o parientes dentro del segundo grado de consanguinidad, segundo de afinidad o primero civil.</w:t>
      </w:r>
    </w:p>
    <w:p w14:paraId="62A08C7C" w14:textId="77777777" w:rsidR="009B6968" w:rsidRPr="003C4166" w:rsidRDefault="009B6968" w:rsidP="005F6815">
      <w:pPr>
        <w:pStyle w:val="Sinespaciado"/>
        <w:jc w:val="both"/>
        <w:rPr>
          <w:rFonts w:ascii="Arial" w:hAnsi="Arial" w:cs="Arial"/>
        </w:rPr>
      </w:pPr>
      <w:r w:rsidRPr="003C4166">
        <w:rPr>
          <w:rFonts w:ascii="Arial" w:hAnsi="Arial" w:cs="Arial"/>
        </w:rPr>
        <w:t> </w:t>
      </w:r>
    </w:p>
    <w:p w14:paraId="443A49B0" w14:textId="77777777" w:rsidR="009B6968" w:rsidRPr="003C4166" w:rsidRDefault="009B6968" w:rsidP="005F6815">
      <w:pPr>
        <w:pStyle w:val="Sinespaciado"/>
        <w:jc w:val="both"/>
        <w:rPr>
          <w:rFonts w:ascii="Arial" w:hAnsi="Arial" w:cs="Arial"/>
        </w:rPr>
      </w:pPr>
      <w:r w:rsidRPr="003C4166">
        <w:rPr>
          <w:rFonts w:ascii="Arial" w:hAnsi="Arial" w:cs="Arial"/>
        </w:rPr>
        <w:t>Para todos los efectos se entiende que no hay conflicto de interés en las siguientes circunstancias:</w:t>
      </w:r>
    </w:p>
    <w:p w14:paraId="0B29BA36" w14:textId="77777777" w:rsidR="009B6968" w:rsidRPr="003C4166" w:rsidRDefault="009B6968" w:rsidP="005F6815">
      <w:pPr>
        <w:pStyle w:val="Sinespaciado"/>
        <w:jc w:val="both"/>
        <w:rPr>
          <w:rFonts w:ascii="Arial" w:hAnsi="Arial" w:cs="Arial"/>
        </w:rPr>
      </w:pPr>
      <w:r w:rsidRPr="003C4166">
        <w:rPr>
          <w:rFonts w:ascii="Arial" w:hAnsi="Arial" w:cs="Arial"/>
        </w:rPr>
        <w:t> </w:t>
      </w:r>
    </w:p>
    <w:p w14:paraId="5AD951DA" w14:textId="77777777" w:rsidR="009B6968" w:rsidRPr="003C4166" w:rsidRDefault="009B6968" w:rsidP="005F6815">
      <w:pPr>
        <w:pStyle w:val="Sinespaciado"/>
        <w:jc w:val="both"/>
        <w:rPr>
          <w:rFonts w:ascii="Arial" w:hAnsi="Arial" w:cs="Arial"/>
        </w:rPr>
      </w:pPr>
      <w:r w:rsidRPr="003C4166">
        <w:rPr>
          <w:rFonts w:ascii="Arial" w:hAnsi="Arial" w:cs="Arial"/>
        </w:rPr>
        <w:t>a) Cuando el congresista participe, discuta, vote un proyecto de Ley o de acto legislativo que otorgue beneficios o cargos de carácter general, es decir cuando el interés del congresista coincide o se fusione con los intereses de los electores.</w:t>
      </w:r>
    </w:p>
    <w:p w14:paraId="5E2606CA" w14:textId="77777777" w:rsidR="009B6968" w:rsidRPr="003C4166" w:rsidRDefault="009B6968" w:rsidP="005F6815">
      <w:pPr>
        <w:pStyle w:val="Sinespaciado"/>
        <w:jc w:val="both"/>
        <w:rPr>
          <w:rFonts w:ascii="Arial" w:hAnsi="Arial" w:cs="Arial"/>
        </w:rPr>
      </w:pPr>
      <w:r w:rsidRPr="003C4166">
        <w:rPr>
          <w:rFonts w:ascii="Arial" w:hAnsi="Arial" w:cs="Arial"/>
        </w:rPr>
        <w:t> </w:t>
      </w:r>
    </w:p>
    <w:p w14:paraId="73DF511E" w14:textId="77777777" w:rsidR="009B6968" w:rsidRPr="003C4166" w:rsidRDefault="009B6968" w:rsidP="005F6815">
      <w:pPr>
        <w:pStyle w:val="Sinespaciado"/>
        <w:jc w:val="both"/>
        <w:rPr>
          <w:rFonts w:ascii="Arial" w:hAnsi="Arial" w:cs="Arial"/>
        </w:rPr>
      </w:pPr>
      <w:r w:rsidRPr="003C4166">
        <w:rPr>
          <w:rFonts w:ascii="Arial" w:hAnsi="Arial" w:cs="Arial"/>
        </w:rPr>
        <w:t>b) Cuando el beneficio podría o no configurarse para el congresista en el futuro.</w:t>
      </w:r>
    </w:p>
    <w:p w14:paraId="5937CEA7" w14:textId="77777777" w:rsidR="009B6968" w:rsidRPr="003C4166" w:rsidRDefault="009B6968" w:rsidP="005F6815">
      <w:pPr>
        <w:pStyle w:val="Sinespaciado"/>
        <w:jc w:val="both"/>
        <w:rPr>
          <w:rFonts w:ascii="Arial" w:hAnsi="Arial" w:cs="Arial"/>
        </w:rPr>
      </w:pPr>
      <w:r w:rsidRPr="003C4166">
        <w:rPr>
          <w:rFonts w:ascii="Arial" w:hAnsi="Arial" w:cs="Arial"/>
        </w:rPr>
        <w:t> </w:t>
      </w:r>
    </w:p>
    <w:p w14:paraId="4CFFC617" w14:textId="77777777" w:rsidR="009B6968" w:rsidRPr="003C4166" w:rsidRDefault="009B6968" w:rsidP="005F6815">
      <w:pPr>
        <w:pStyle w:val="Sinespaciado"/>
        <w:jc w:val="both"/>
        <w:rPr>
          <w:rFonts w:ascii="Arial" w:hAnsi="Arial" w:cs="Arial"/>
        </w:rPr>
      </w:pPr>
      <w:r w:rsidRPr="003C4166">
        <w:rPr>
          <w:rFonts w:ascii="Arial" w:hAnsi="Arial" w:cs="Arial"/>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0B5F5001" w14:textId="77777777" w:rsidR="009B6968" w:rsidRPr="003C4166" w:rsidRDefault="009B6968" w:rsidP="005F6815">
      <w:pPr>
        <w:pStyle w:val="Sinespaciado"/>
        <w:jc w:val="both"/>
        <w:rPr>
          <w:rFonts w:ascii="Arial" w:hAnsi="Arial" w:cs="Arial"/>
        </w:rPr>
      </w:pPr>
      <w:r w:rsidRPr="003C4166">
        <w:rPr>
          <w:rFonts w:ascii="Arial" w:hAnsi="Arial" w:cs="Arial"/>
        </w:rPr>
        <w:t> </w:t>
      </w:r>
    </w:p>
    <w:p w14:paraId="628CDC33" w14:textId="77777777" w:rsidR="009B6968" w:rsidRPr="003C4166" w:rsidRDefault="009B6968" w:rsidP="005F6815">
      <w:pPr>
        <w:pStyle w:val="Sinespaciado"/>
        <w:jc w:val="both"/>
        <w:rPr>
          <w:rFonts w:ascii="Arial" w:hAnsi="Arial" w:cs="Arial"/>
        </w:rPr>
      </w:pPr>
      <w:r w:rsidRPr="003C4166">
        <w:rPr>
          <w:rFonts w:ascii="Arial" w:hAnsi="Arial" w:cs="Arial"/>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50E88650" w14:textId="77777777" w:rsidR="009B6968" w:rsidRPr="003C4166" w:rsidRDefault="009B6968" w:rsidP="005F6815">
      <w:pPr>
        <w:pStyle w:val="Sinespaciado"/>
        <w:jc w:val="both"/>
        <w:rPr>
          <w:rFonts w:ascii="Arial" w:hAnsi="Arial" w:cs="Arial"/>
        </w:rPr>
      </w:pPr>
      <w:r w:rsidRPr="003C4166">
        <w:rPr>
          <w:rFonts w:ascii="Arial" w:hAnsi="Arial" w:cs="Arial"/>
        </w:rPr>
        <w:t> </w:t>
      </w:r>
    </w:p>
    <w:p w14:paraId="03759996" w14:textId="77777777" w:rsidR="009B6968" w:rsidRPr="003C4166" w:rsidRDefault="009B6968" w:rsidP="005F6815">
      <w:pPr>
        <w:pStyle w:val="Sinespaciado"/>
        <w:jc w:val="both"/>
        <w:rPr>
          <w:rFonts w:ascii="Arial" w:hAnsi="Arial" w:cs="Arial"/>
        </w:rPr>
      </w:pPr>
      <w:r w:rsidRPr="003C4166">
        <w:rPr>
          <w:rFonts w:ascii="Arial" w:hAnsi="Arial" w:cs="Arial"/>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5191BFE5" w14:textId="77777777" w:rsidR="009B6968" w:rsidRPr="003C4166" w:rsidRDefault="009B6968" w:rsidP="005F6815">
      <w:pPr>
        <w:pStyle w:val="Sinespaciado"/>
        <w:jc w:val="both"/>
        <w:rPr>
          <w:rFonts w:ascii="Arial" w:hAnsi="Arial" w:cs="Arial"/>
        </w:rPr>
      </w:pPr>
      <w:r w:rsidRPr="003C4166">
        <w:rPr>
          <w:rFonts w:ascii="Arial" w:hAnsi="Arial" w:cs="Arial"/>
        </w:rPr>
        <w:t> </w:t>
      </w:r>
    </w:p>
    <w:p w14:paraId="5F7B9B11" w14:textId="77777777" w:rsidR="009B6968" w:rsidRPr="003C4166" w:rsidRDefault="009B6968" w:rsidP="005F6815">
      <w:pPr>
        <w:pStyle w:val="Sinespaciado"/>
        <w:jc w:val="both"/>
        <w:rPr>
          <w:rFonts w:ascii="Arial" w:hAnsi="Arial" w:cs="Arial"/>
        </w:rPr>
      </w:pPr>
      <w:r w:rsidRPr="003C4166">
        <w:rPr>
          <w:rFonts w:ascii="Arial" w:hAnsi="Arial" w:cs="Arial"/>
        </w:rPr>
        <w:t>f) Cuando el congresista participa en la elección de otros servidores públicos mediante el voto secreto. Se exceptúan los casos en que se presenten inhabilidades referidas al parentesco con los candidatos.</w:t>
      </w:r>
    </w:p>
    <w:p w14:paraId="23F8C414" w14:textId="77777777" w:rsidR="009B6968" w:rsidRPr="003C4166" w:rsidRDefault="009B6968" w:rsidP="005F6815">
      <w:pPr>
        <w:pStyle w:val="Sinespaciado"/>
        <w:jc w:val="both"/>
        <w:rPr>
          <w:rFonts w:ascii="Arial" w:hAnsi="Arial" w:cs="Arial"/>
        </w:rPr>
      </w:pPr>
      <w:r w:rsidRPr="003C4166">
        <w:rPr>
          <w:rFonts w:ascii="Arial" w:hAnsi="Arial" w:cs="Arial"/>
        </w:rPr>
        <w:t> </w:t>
      </w:r>
    </w:p>
    <w:p w14:paraId="1986F222" w14:textId="77777777" w:rsidR="009B6968" w:rsidRPr="003C4166" w:rsidRDefault="009B6968" w:rsidP="005F6815">
      <w:pPr>
        <w:pStyle w:val="Sinespaciado"/>
        <w:jc w:val="both"/>
        <w:rPr>
          <w:rFonts w:ascii="Arial" w:hAnsi="Arial" w:cs="Arial"/>
        </w:rPr>
      </w:pPr>
      <w:r w:rsidRPr="003C4166">
        <w:rPr>
          <w:rFonts w:ascii="Arial" w:hAnsi="Arial" w:cs="Arial"/>
          <w:b/>
          <w:bCs/>
        </w:rPr>
        <w:t>PARÁGRAFO 1</w:t>
      </w:r>
      <w:r w:rsidRPr="003C4166">
        <w:rPr>
          <w:rFonts w:ascii="Arial" w:hAnsi="Arial" w:cs="Arial"/>
        </w:rPr>
        <w:t>. Entiéndase por conflicto de interés moral aquel que presentan los congresistas cuando por razones de conciencia se quieran apartar de la discusión y votación del proyecto.</w:t>
      </w:r>
    </w:p>
    <w:p w14:paraId="6903C509" w14:textId="77777777" w:rsidR="009B6968" w:rsidRPr="003C4166" w:rsidRDefault="009B6968" w:rsidP="005F6815">
      <w:pPr>
        <w:pStyle w:val="Sinespaciado"/>
        <w:jc w:val="both"/>
        <w:rPr>
          <w:rFonts w:ascii="Arial" w:hAnsi="Arial" w:cs="Arial"/>
        </w:rPr>
      </w:pPr>
      <w:r w:rsidRPr="003C4166">
        <w:rPr>
          <w:rFonts w:ascii="Arial" w:hAnsi="Arial" w:cs="Arial"/>
        </w:rPr>
        <w:t> </w:t>
      </w:r>
    </w:p>
    <w:p w14:paraId="50AADD6F" w14:textId="77777777" w:rsidR="009B6968" w:rsidRPr="003C4166" w:rsidRDefault="009B6968" w:rsidP="005F6815">
      <w:pPr>
        <w:pStyle w:val="Sinespaciado"/>
        <w:jc w:val="both"/>
        <w:rPr>
          <w:rFonts w:ascii="Arial" w:hAnsi="Arial" w:cs="Arial"/>
        </w:rPr>
      </w:pPr>
      <w:r w:rsidRPr="003C4166">
        <w:rPr>
          <w:rFonts w:ascii="Arial" w:hAnsi="Arial" w:cs="Arial"/>
          <w:b/>
          <w:bCs/>
        </w:rPr>
        <w:t>PARÁGRAFO 2.</w:t>
      </w:r>
      <w:r w:rsidRPr="003C4166">
        <w:rPr>
          <w:rStyle w:val="apple-converted-space"/>
          <w:rFonts w:ascii="Arial" w:hAnsi="Arial" w:cs="Arial"/>
          <w:color w:val="000000" w:themeColor="text1"/>
        </w:rPr>
        <w:t> </w:t>
      </w:r>
      <w:r w:rsidRPr="003C4166">
        <w:rPr>
          <w:rFonts w:ascii="Arial" w:hAnsi="Arial" w:cs="Arial"/>
        </w:rPr>
        <w:t>Cuando se trate de funciones judiciales, disciplinarias o fiscales de los congresistas, sobre conflicto de interés se aplicará la norma especial que rige ese tipo de investigación.</w:t>
      </w:r>
    </w:p>
    <w:p w14:paraId="45FDCC22" w14:textId="77777777" w:rsidR="009B6968" w:rsidRPr="003C4166" w:rsidRDefault="009B6968" w:rsidP="005F6815">
      <w:pPr>
        <w:pStyle w:val="Sinespaciado"/>
        <w:jc w:val="both"/>
        <w:rPr>
          <w:rFonts w:ascii="Arial" w:hAnsi="Arial" w:cs="Arial"/>
        </w:rPr>
      </w:pPr>
      <w:r w:rsidRPr="003C4166">
        <w:rPr>
          <w:rFonts w:ascii="Arial" w:hAnsi="Arial" w:cs="Arial"/>
        </w:rPr>
        <w:t> </w:t>
      </w:r>
    </w:p>
    <w:p w14:paraId="348D01E7" w14:textId="77777777" w:rsidR="009B6968" w:rsidRPr="003C4166" w:rsidRDefault="009B6968" w:rsidP="005F6815">
      <w:pPr>
        <w:pStyle w:val="Sinespaciado"/>
        <w:jc w:val="both"/>
        <w:rPr>
          <w:rFonts w:ascii="Arial" w:hAnsi="Arial" w:cs="Arial"/>
        </w:rPr>
      </w:pPr>
      <w:r w:rsidRPr="003C4166">
        <w:rPr>
          <w:rFonts w:ascii="Arial" w:hAnsi="Arial" w:cs="Arial"/>
          <w:b/>
          <w:bCs/>
        </w:rPr>
        <w:t>PARÁGRAFO 3.</w:t>
      </w:r>
      <w:r w:rsidRPr="003C4166">
        <w:rPr>
          <w:rStyle w:val="apple-converted-space"/>
          <w:rFonts w:ascii="Arial" w:hAnsi="Arial" w:cs="Arial"/>
          <w:color w:val="000000" w:themeColor="text1"/>
        </w:rPr>
        <w:t> </w:t>
      </w:r>
      <w:r w:rsidRPr="003C4166">
        <w:rPr>
          <w:rFonts w:ascii="Arial" w:hAnsi="Arial" w:cs="Arial"/>
        </w:rPr>
        <w:t>Igualmente se aplicará el régimen de conflicto de intereses para todos y cada uno de los actores que presenten, discutan o participen de cualquier iniciativa legislativa, conforme al artículo 140 de la Ley 5 de 1992.</w:t>
      </w:r>
    </w:p>
    <w:p w14:paraId="1F3AA2D5" w14:textId="77777777" w:rsidR="000354FB" w:rsidRPr="003C4166" w:rsidRDefault="000354FB" w:rsidP="00E91571">
      <w:pPr>
        <w:adjustRightInd w:val="0"/>
        <w:spacing w:after="0" w:line="240" w:lineRule="auto"/>
        <w:contextualSpacing/>
        <w:textAlignment w:val="center"/>
        <w:rPr>
          <w:rFonts w:ascii="Arial" w:eastAsia="Times New Roman" w:hAnsi="Arial" w:cs="Arial"/>
          <w:b/>
          <w:color w:val="000000" w:themeColor="text1"/>
          <w:lang w:eastAsia="es-CO"/>
        </w:rPr>
      </w:pPr>
    </w:p>
    <w:p w14:paraId="2785994D" w14:textId="77777777" w:rsidR="000354FB" w:rsidRPr="003C4166" w:rsidRDefault="000354FB" w:rsidP="00E91571">
      <w:pPr>
        <w:adjustRightInd w:val="0"/>
        <w:spacing w:after="0" w:line="240" w:lineRule="auto"/>
        <w:contextualSpacing/>
        <w:textAlignment w:val="center"/>
        <w:rPr>
          <w:rFonts w:ascii="Arial" w:eastAsia="Times New Roman" w:hAnsi="Arial" w:cs="Arial"/>
          <w:b/>
          <w:color w:val="000000" w:themeColor="text1"/>
          <w:lang w:eastAsia="es-CO"/>
        </w:rPr>
      </w:pPr>
    </w:p>
    <w:p w14:paraId="4B56E33B" w14:textId="77777777" w:rsidR="000354FB" w:rsidRPr="003C4166" w:rsidRDefault="000354FB" w:rsidP="00E91571">
      <w:pPr>
        <w:adjustRightInd w:val="0"/>
        <w:spacing w:after="0" w:line="240" w:lineRule="auto"/>
        <w:contextualSpacing/>
        <w:textAlignment w:val="center"/>
        <w:rPr>
          <w:rFonts w:ascii="Arial" w:eastAsia="Times New Roman" w:hAnsi="Arial" w:cs="Arial"/>
          <w:b/>
          <w:color w:val="000000" w:themeColor="text1"/>
          <w:lang w:eastAsia="es-CO"/>
        </w:rPr>
      </w:pPr>
    </w:p>
    <w:p w14:paraId="56F05F95" w14:textId="0E555BDD" w:rsidR="008C1557" w:rsidRDefault="008C1557" w:rsidP="00E91571">
      <w:pPr>
        <w:adjustRightInd w:val="0"/>
        <w:spacing w:after="0" w:line="240" w:lineRule="auto"/>
        <w:contextualSpacing/>
        <w:jc w:val="both"/>
        <w:textAlignment w:val="center"/>
        <w:rPr>
          <w:rFonts w:ascii="Arial" w:eastAsia="Times New Roman" w:hAnsi="Arial" w:cs="Arial"/>
          <w:b/>
          <w:color w:val="000000" w:themeColor="text1"/>
          <w:lang w:val="es-ES_tradnl" w:eastAsia="es-CO"/>
        </w:rPr>
      </w:pPr>
    </w:p>
    <w:p w14:paraId="7BB1D7B1" w14:textId="70AC9A28" w:rsidR="003C4166" w:rsidRDefault="003C4166" w:rsidP="00E91571">
      <w:pPr>
        <w:adjustRightInd w:val="0"/>
        <w:spacing w:after="0" w:line="240" w:lineRule="auto"/>
        <w:contextualSpacing/>
        <w:jc w:val="both"/>
        <w:textAlignment w:val="center"/>
        <w:rPr>
          <w:rFonts w:ascii="Arial" w:eastAsia="Times New Roman" w:hAnsi="Arial" w:cs="Arial"/>
          <w:b/>
          <w:color w:val="000000" w:themeColor="text1"/>
          <w:lang w:val="es-ES_tradnl" w:eastAsia="es-CO"/>
        </w:rPr>
      </w:pPr>
    </w:p>
    <w:p w14:paraId="28A2F049" w14:textId="0DE8EED3" w:rsidR="003C4166" w:rsidRDefault="003C4166" w:rsidP="00E91571">
      <w:pPr>
        <w:adjustRightInd w:val="0"/>
        <w:spacing w:after="0" w:line="240" w:lineRule="auto"/>
        <w:contextualSpacing/>
        <w:jc w:val="both"/>
        <w:textAlignment w:val="center"/>
        <w:rPr>
          <w:rFonts w:ascii="Arial" w:eastAsia="Times New Roman" w:hAnsi="Arial" w:cs="Arial"/>
          <w:b/>
          <w:color w:val="000000" w:themeColor="text1"/>
          <w:lang w:val="es-ES_tradnl" w:eastAsia="es-CO"/>
        </w:rPr>
      </w:pPr>
    </w:p>
    <w:p w14:paraId="3C1EC103" w14:textId="02DF57F3" w:rsidR="003C4166" w:rsidRDefault="003C4166" w:rsidP="00E91571">
      <w:pPr>
        <w:adjustRightInd w:val="0"/>
        <w:spacing w:after="0" w:line="240" w:lineRule="auto"/>
        <w:contextualSpacing/>
        <w:jc w:val="both"/>
        <w:textAlignment w:val="center"/>
        <w:rPr>
          <w:rFonts w:ascii="Arial" w:eastAsia="Times New Roman" w:hAnsi="Arial" w:cs="Arial"/>
          <w:b/>
          <w:color w:val="000000" w:themeColor="text1"/>
          <w:lang w:val="es-ES_tradnl" w:eastAsia="es-CO"/>
        </w:rPr>
      </w:pPr>
    </w:p>
    <w:p w14:paraId="4D3DC02C" w14:textId="77777777" w:rsidR="003C4166" w:rsidRPr="003C4166" w:rsidRDefault="003C4166" w:rsidP="00E91571">
      <w:pPr>
        <w:adjustRightInd w:val="0"/>
        <w:spacing w:after="0" w:line="240" w:lineRule="auto"/>
        <w:contextualSpacing/>
        <w:jc w:val="both"/>
        <w:textAlignment w:val="center"/>
        <w:rPr>
          <w:rFonts w:ascii="Arial" w:eastAsia="Times New Roman" w:hAnsi="Arial" w:cs="Arial"/>
          <w:b/>
          <w:color w:val="000000" w:themeColor="text1"/>
          <w:lang w:val="es-ES_tradnl" w:eastAsia="es-CO"/>
        </w:rPr>
      </w:pPr>
    </w:p>
    <w:p w14:paraId="5E8FBC48" w14:textId="77777777" w:rsidR="00E91571" w:rsidRPr="003C4166" w:rsidRDefault="00E91571" w:rsidP="00E91571">
      <w:pPr>
        <w:adjustRightInd w:val="0"/>
        <w:spacing w:after="0" w:line="240" w:lineRule="auto"/>
        <w:contextualSpacing/>
        <w:jc w:val="both"/>
        <w:textAlignment w:val="center"/>
        <w:rPr>
          <w:rFonts w:ascii="Arial" w:eastAsia="Times New Roman" w:hAnsi="Arial" w:cs="Arial"/>
          <w:b/>
          <w:color w:val="000000" w:themeColor="text1"/>
          <w:lang w:val="es-ES_tradnl" w:eastAsia="es-CO"/>
        </w:rPr>
      </w:pPr>
    </w:p>
    <w:p w14:paraId="4B36F83D" w14:textId="77777777" w:rsidR="00AC7859" w:rsidRPr="003C4166" w:rsidRDefault="00AC7859" w:rsidP="006E38C4">
      <w:pPr>
        <w:pStyle w:val="Prrafodelista"/>
        <w:numPr>
          <w:ilvl w:val="0"/>
          <w:numId w:val="7"/>
        </w:numPr>
        <w:adjustRightInd w:val="0"/>
        <w:contextualSpacing/>
        <w:jc w:val="both"/>
        <w:textAlignment w:val="center"/>
        <w:rPr>
          <w:rFonts w:eastAsia="Times New Roman"/>
          <w:b/>
          <w:color w:val="000000" w:themeColor="text1"/>
          <w:lang w:val="es-ES_tradnl" w:eastAsia="es-CO"/>
        </w:rPr>
      </w:pPr>
      <w:r w:rsidRPr="003C4166">
        <w:rPr>
          <w:b/>
          <w:color w:val="000000" w:themeColor="text1"/>
        </w:rPr>
        <w:t>PLIEGO DE MODIFICACIONES.</w:t>
      </w:r>
    </w:p>
    <w:p w14:paraId="5CF265EC" w14:textId="550228FC" w:rsidR="005F6815" w:rsidRPr="003C4166" w:rsidRDefault="005F6815" w:rsidP="003C4166">
      <w:pPr>
        <w:adjustRightInd w:val="0"/>
        <w:contextualSpacing/>
        <w:jc w:val="both"/>
        <w:textAlignment w:val="center"/>
        <w:rPr>
          <w:rFonts w:ascii="Arial" w:eastAsia="Times New Roman" w:hAnsi="Arial" w:cs="Arial"/>
          <w:b/>
          <w:color w:val="000000" w:themeColor="text1"/>
          <w:lang w:val="es-ES_tradnl" w:eastAsia="es-CO"/>
        </w:rPr>
      </w:pPr>
    </w:p>
    <w:p w14:paraId="16DE0D16" w14:textId="77777777" w:rsidR="00AC7859" w:rsidRPr="003C4166" w:rsidRDefault="00AC7859" w:rsidP="00E91571">
      <w:pPr>
        <w:adjustRightInd w:val="0"/>
        <w:spacing w:after="0" w:line="240" w:lineRule="auto"/>
        <w:contextualSpacing/>
        <w:jc w:val="both"/>
        <w:textAlignment w:val="center"/>
        <w:rPr>
          <w:rFonts w:ascii="Arial" w:hAnsi="Arial" w:cs="Arial"/>
          <w:b/>
          <w:color w:val="000000" w:themeColor="text1"/>
        </w:rPr>
      </w:pPr>
    </w:p>
    <w:tbl>
      <w:tblPr>
        <w:tblStyle w:val="Tablaconcuadrcula"/>
        <w:tblW w:w="8926" w:type="dxa"/>
        <w:tblLook w:val="04A0" w:firstRow="1" w:lastRow="0" w:firstColumn="1" w:lastColumn="0" w:noHBand="0" w:noVBand="1"/>
      </w:tblPr>
      <w:tblGrid>
        <w:gridCol w:w="4531"/>
        <w:gridCol w:w="4395"/>
      </w:tblGrid>
      <w:tr w:rsidR="00700E8E" w:rsidRPr="003C4166" w14:paraId="452FC28F" w14:textId="77777777" w:rsidTr="00475244">
        <w:tc>
          <w:tcPr>
            <w:tcW w:w="4531" w:type="dxa"/>
          </w:tcPr>
          <w:p w14:paraId="101475E6" w14:textId="77777777" w:rsidR="00475244" w:rsidRPr="003C4166" w:rsidRDefault="00475244" w:rsidP="00D67516">
            <w:pPr>
              <w:jc w:val="center"/>
              <w:rPr>
                <w:rFonts w:ascii="Arial" w:hAnsi="Arial" w:cs="Arial"/>
                <w:b/>
                <w:color w:val="000000" w:themeColor="text1"/>
              </w:rPr>
            </w:pPr>
            <w:r w:rsidRPr="003C4166">
              <w:rPr>
                <w:rFonts w:ascii="Arial" w:hAnsi="Arial" w:cs="Arial"/>
                <w:b/>
                <w:color w:val="000000" w:themeColor="text1"/>
              </w:rPr>
              <w:t>APROBADO COMISIÓN PRIMERA</w:t>
            </w:r>
          </w:p>
        </w:tc>
        <w:tc>
          <w:tcPr>
            <w:tcW w:w="4395" w:type="dxa"/>
          </w:tcPr>
          <w:p w14:paraId="01B2D8B1" w14:textId="58322A55" w:rsidR="00475244" w:rsidRPr="003C4166" w:rsidRDefault="00475244" w:rsidP="009E571D">
            <w:pPr>
              <w:jc w:val="center"/>
              <w:rPr>
                <w:rFonts w:ascii="Arial" w:hAnsi="Arial" w:cs="Arial"/>
                <w:b/>
                <w:color w:val="000000" w:themeColor="text1"/>
              </w:rPr>
            </w:pPr>
            <w:r w:rsidRPr="003C4166">
              <w:rPr>
                <w:rFonts w:ascii="Arial" w:hAnsi="Arial" w:cs="Arial"/>
                <w:b/>
                <w:color w:val="000000" w:themeColor="text1"/>
              </w:rPr>
              <w:t xml:space="preserve">TEXTO </w:t>
            </w:r>
            <w:r w:rsidR="009E571D" w:rsidRPr="003C4166">
              <w:rPr>
                <w:rFonts w:ascii="Arial" w:hAnsi="Arial" w:cs="Arial"/>
                <w:b/>
                <w:color w:val="000000" w:themeColor="text1"/>
              </w:rPr>
              <w:t>PROPUESTO</w:t>
            </w:r>
            <w:r w:rsidRPr="003C4166">
              <w:rPr>
                <w:rFonts w:ascii="Arial" w:hAnsi="Arial" w:cs="Arial"/>
                <w:b/>
                <w:color w:val="000000" w:themeColor="text1"/>
              </w:rPr>
              <w:t xml:space="preserve"> PARA SEGUNDO DEBATE</w:t>
            </w:r>
          </w:p>
        </w:tc>
      </w:tr>
      <w:tr w:rsidR="00700E8E" w:rsidRPr="003C4166" w14:paraId="1C58F241" w14:textId="77777777" w:rsidTr="00475244">
        <w:tc>
          <w:tcPr>
            <w:tcW w:w="4531" w:type="dxa"/>
          </w:tcPr>
          <w:p w14:paraId="5447D3FF" w14:textId="77777777" w:rsidR="00475244" w:rsidRPr="003C4166" w:rsidRDefault="00475244" w:rsidP="00D67516">
            <w:pPr>
              <w:jc w:val="center"/>
              <w:rPr>
                <w:rFonts w:ascii="Arial" w:hAnsi="Arial" w:cs="Arial"/>
                <w:color w:val="000000" w:themeColor="text1"/>
              </w:rPr>
            </w:pPr>
            <w:r w:rsidRPr="003C4166">
              <w:rPr>
                <w:rFonts w:ascii="Arial" w:hAnsi="Arial" w:cs="Arial"/>
                <w:color w:val="000000" w:themeColor="text1"/>
              </w:rPr>
              <w:t>TÍTULO: POR MEDIO DEL CUAL SE ESTABLECEN MEDIDAS QUE PROTEJAN EL DERECHO A LA INTIMIDAD DE LOS CONSUMIDORES FINANCIEROS</w:t>
            </w:r>
          </w:p>
        </w:tc>
        <w:tc>
          <w:tcPr>
            <w:tcW w:w="4395" w:type="dxa"/>
          </w:tcPr>
          <w:p w14:paraId="343CD234" w14:textId="77777777" w:rsidR="00475244" w:rsidRPr="003C4166" w:rsidRDefault="00475244" w:rsidP="00D67516">
            <w:pPr>
              <w:jc w:val="center"/>
              <w:rPr>
                <w:rFonts w:ascii="Arial" w:hAnsi="Arial" w:cs="Arial"/>
                <w:color w:val="000000" w:themeColor="text1"/>
              </w:rPr>
            </w:pPr>
            <w:r w:rsidRPr="003C4166">
              <w:rPr>
                <w:rFonts w:ascii="Arial" w:hAnsi="Arial" w:cs="Arial"/>
                <w:color w:val="000000" w:themeColor="text1"/>
              </w:rPr>
              <w:t>TÍTULO: POR MEDIO DEL CUAL SE ESTABLECEN MEDIDAS QUE PROTEJAN EL DERECHO A LA INTIMIDAD DE LOS CONSUMIDORES FINANCIEROS</w:t>
            </w:r>
          </w:p>
        </w:tc>
      </w:tr>
      <w:tr w:rsidR="00700E8E" w:rsidRPr="003C4166" w14:paraId="56709B44" w14:textId="77777777" w:rsidTr="00475244">
        <w:tc>
          <w:tcPr>
            <w:tcW w:w="4531" w:type="dxa"/>
          </w:tcPr>
          <w:p w14:paraId="1B526788" w14:textId="77777777" w:rsidR="00475244" w:rsidRPr="003C4166" w:rsidRDefault="00475244" w:rsidP="00D67516">
            <w:pPr>
              <w:pStyle w:val="NormalWeb"/>
              <w:jc w:val="both"/>
              <w:rPr>
                <w:rFonts w:ascii="Arial" w:hAnsi="Arial" w:cs="Arial"/>
                <w:color w:val="000000" w:themeColor="text1"/>
                <w:sz w:val="22"/>
                <w:szCs w:val="22"/>
              </w:rPr>
            </w:pPr>
            <w:r w:rsidRPr="003C4166">
              <w:rPr>
                <w:rFonts w:ascii="Arial" w:hAnsi="Arial" w:cs="Arial"/>
                <w:b/>
                <w:color w:val="000000" w:themeColor="text1"/>
                <w:sz w:val="22"/>
                <w:szCs w:val="22"/>
              </w:rPr>
              <w:t>Artículo 1. Objeto.</w:t>
            </w:r>
            <w:r w:rsidRPr="003C4166">
              <w:rPr>
                <w:rFonts w:ascii="Arial" w:hAnsi="Arial" w:cs="Arial"/>
                <w:color w:val="000000" w:themeColor="text1"/>
                <w:sz w:val="22"/>
                <w:szCs w:val="22"/>
              </w:rPr>
              <w:t xml:space="preserve"> La presente ley tiene por objeto proteger el derecho a la intimidad de los consumidores financieros, durante las horas inhábiles, los fines de semana y días festivos, restringiendo los contactos a través de mensajes de texto, mensajes de datos, llamadas telefónicas, correos electrónicos y similares, provenientes de las entidades vigiladas por la Superintendencia Financiera.</w:t>
            </w:r>
          </w:p>
          <w:p w14:paraId="435A7D8F" w14:textId="77777777" w:rsidR="00475244" w:rsidRPr="003C4166" w:rsidRDefault="00475244" w:rsidP="00D67516">
            <w:pPr>
              <w:rPr>
                <w:rFonts w:ascii="Arial" w:hAnsi="Arial" w:cs="Arial"/>
                <w:color w:val="000000" w:themeColor="text1"/>
              </w:rPr>
            </w:pPr>
          </w:p>
        </w:tc>
        <w:tc>
          <w:tcPr>
            <w:tcW w:w="4395" w:type="dxa"/>
          </w:tcPr>
          <w:p w14:paraId="73E294BA" w14:textId="77777777" w:rsidR="00475244" w:rsidRPr="003C4166" w:rsidRDefault="00475244" w:rsidP="00D67516">
            <w:pPr>
              <w:jc w:val="both"/>
              <w:rPr>
                <w:rFonts w:ascii="Arial" w:hAnsi="Arial" w:cs="Arial"/>
                <w:color w:val="000000" w:themeColor="text1"/>
              </w:rPr>
            </w:pPr>
            <w:r w:rsidRPr="003C4166">
              <w:rPr>
                <w:rFonts w:ascii="Arial" w:hAnsi="Arial" w:cs="Arial"/>
                <w:b/>
                <w:color w:val="000000" w:themeColor="text1"/>
              </w:rPr>
              <w:t>Artículo 1. Objeto.</w:t>
            </w:r>
            <w:r w:rsidRPr="003C4166">
              <w:rPr>
                <w:rFonts w:ascii="Arial" w:hAnsi="Arial" w:cs="Arial"/>
                <w:color w:val="000000" w:themeColor="text1"/>
              </w:rPr>
              <w:t xml:space="preserve"> La presente ley tiene por objeto proteger el derecho a la intimidad de los consumidores financieros, durante las horas inhábiles, los fines de semana y días festivos, restringiendo los contactos a través de mensajes de texto, mensajes de datos, llamadas telefónicas, correos electrónicos y similares, provenientes de las entidades vigiladas por la Superintendencia Financiera</w:t>
            </w:r>
          </w:p>
        </w:tc>
      </w:tr>
      <w:tr w:rsidR="00700E8E" w:rsidRPr="003C4166" w14:paraId="080B9CE1" w14:textId="77777777" w:rsidTr="00475244">
        <w:tc>
          <w:tcPr>
            <w:tcW w:w="4531" w:type="dxa"/>
          </w:tcPr>
          <w:p w14:paraId="39015C64" w14:textId="77777777" w:rsidR="00475244" w:rsidRPr="003C4166" w:rsidRDefault="00475244" w:rsidP="00D67516">
            <w:pPr>
              <w:pStyle w:val="NormalWeb"/>
              <w:jc w:val="both"/>
              <w:rPr>
                <w:rFonts w:ascii="Arial" w:hAnsi="Arial" w:cs="Arial"/>
                <w:color w:val="000000" w:themeColor="text1"/>
                <w:sz w:val="22"/>
                <w:szCs w:val="22"/>
              </w:rPr>
            </w:pPr>
            <w:r w:rsidRPr="003C4166">
              <w:rPr>
                <w:rFonts w:ascii="Arial" w:hAnsi="Arial" w:cs="Arial"/>
                <w:b/>
                <w:color w:val="000000" w:themeColor="text1"/>
                <w:sz w:val="22"/>
                <w:szCs w:val="22"/>
              </w:rPr>
              <w:t>Artículo 2.</w:t>
            </w:r>
            <w:r w:rsidRPr="003C4166">
              <w:rPr>
                <w:rFonts w:ascii="Arial" w:hAnsi="Arial" w:cs="Arial"/>
                <w:color w:val="000000" w:themeColor="text1"/>
                <w:sz w:val="22"/>
                <w:szCs w:val="22"/>
              </w:rPr>
              <w:t xml:space="preserve"> Las entidades vigiladas usarán para los contactos exclusivamente el canal suministrado al efecto por el consumidor financiero.</w:t>
            </w:r>
          </w:p>
        </w:tc>
        <w:tc>
          <w:tcPr>
            <w:tcW w:w="4395" w:type="dxa"/>
          </w:tcPr>
          <w:p w14:paraId="500D7B05" w14:textId="6D134BDA" w:rsidR="00475244" w:rsidRPr="003C4166" w:rsidRDefault="00475244" w:rsidP="00D67516">
            <w:pPr>
              <w:jc w:val="both"/>
              <w:rPr>
                <w:rFonts w:ascii="Arial" w:hAnsi="Arial" w:cs="Arial"/>
                <w:color w:val="000000" w:themeColor="text1"/>
              </w:rPr>
            </w:pPr>
            <w:r w:rsidRPr="003C4166">
              <w:rPr>
                <w:rFonts w:ascii="Arial" w:hAnsi="Arial" w:cs="Arial"/>
                <w:b/>
                <w:color w:val="000000" w:themeColor="text1"/>
              </w:rPr>
              <w:t>Artículo 2. Canales autorizados.</w:t>
            </w:r>
            <w:r w:rsidRPr="003C4166">
              <w:rPr>
                <w:rFonts w:ascii="Arial" w:hAnsi="Arial" w:cs="Arial"/>
                <w:color w:val="000000" w:themeColor="text1"/>
              </w:rPr>
              <w:t xml:space="preserve"> Las entidades que ejerzan actividades de cobranza sólo podrán contactar a los consumidores financieros mediante los canales suministrados para tal efecto; los cuales deberán ser informados y socializados previamente con el consumidor financiero</w:t>
            </w:r>
            <w:r w:rsidR="009E571D" w:rsidRPr="003C4166">
              <w:rPr>
                <w:rFonts w:ascii="Arial" w:hAnsi="Arial" w:cs="Arial"/>
                <w:color w:val="000000" w:themeColor="text1"/>
              </w:rPr>
              <w:t>.</w:t>
            </w:r>
          </w:p>
          <w:p w14:paraId="30354E5A" w14:textId="77777777" w:rsidR="00475244" w:rsidRPr="003C4166" w:rsidRDefault="00475244" w:rsidP="00D67516">
            <w:pPr>
              <w:jc w:val="both"/>
              <w:rPr>
                <w:rFonts w:ascii="Arial" w:hAnsi="Arial" w:cs="Arial"/>
                <w:color w:val="000000" w:themeColor="text1"/>
              </w:rPr>
            </w:pPr>
          </w:p>
        </w:tc>
      </w:tr>
      <w:tr w:rsidR="00700E8E" w:rsidRPr="003C4166" w14:paraId="1D9F6FBF" w14:textId="77777777" w:rsidTr="00475244">
        <w:tc>
          <w:tcPr>
            <w:tcW w:w="4531" w:type="dxa"/>
          </w:tcPr>
          <w:p w14:paraId="408E1079" w14:textId="77777777" w:rsidR="00475244" w:rsidRPr="003C4166" w:rsidRDefault="00475244" w:rsidP="00D67516">
            <w:pPr>
              <w:jc w:val="both"/>
              <w:rPr>
                <w:rFonts w:ascii="Arial" w:hAnsi="Arial" w:cs="Arial"/>
                <w:color w:val="000000" w:themeColor="text1"/>
              </w:rPr>
            </w:pPr>
            <w:r w:rsidRPr="003C4166">
              <w:rPr>
                <w:rFonts w:ascii="Arial" w:hAnsi="Arial" w:cs="Arial"/>
                <w:b/>
                <w:color w:val="000000" w:themeColor="text1"/>
              </w:rPr>
              <w:t>Artículo 3.</w:t>
            </w:r>
            <w:r w:rsidRPr="003C4166">
              <w:rPr>
                <w:rFonts w:ascii="Arial" w:hAnsi="Arial" w:cs="Arial"/>
                <w:color w:val="000000" w:themeColor="text1"/>
              </w:rPr>
              <w:t xml:space="preserve"> En ningún caso, el consumidor financiero será contactado por más de dos canales durante una misma semana.</w:t>
            </w:r>
          </w:p>
        </w:tc>
        <w:tc>
          <w:tcPr>
            <w:tcW w:w="4395" w:type="dxa"/>
          </w:tcPr>
          <w:p w14:paraId="44625158" w14:textId="77777777" w:rsidR="00475244" w:rsidRPr="003C4166" w:rsidRDefault="00475244" w:rsidP="00D67516">
            <w:pPr>
              <w:jc w:val="both"/>
              <w:rPr>
                <w:rFonts w:ascii="Arial" w:hAnsi="Arial" w:cs="Arial"/>
                <w:b/>
                <w:color w:val="000000" w:themeColor="text1"/>
              </w:rPr>
            </w:pPr>
            <w:r w:rsidRPr="003C4166">
              <w:rPr>
                <w:rFonts w:ascii="Arial" w:hAnsi="Arial" w:cs="Arial"/>
                <w:b/>
                <w:color w:val="000000" w:themeColor="text1"/>
              </w:rPr>
              <w:t>Artículo 3. Horarios y periodicidad.</w:t>
            </w:r>
            <w:r w:rsidRPr="003C4166">
              <w:rPr>
                <w:rFonts w:ascii="Arial" w:hAnsi="Arial" w:cs="Arial"/>
                <w:color w:val="000000" w:themeColor="text1"/>
              </w:rPr>
              <w:t xml:space="preserve"> Los consumidores financieros no podrán ser contactados por parte de gestores de cobranza mediante varios canales dentro de una misma semana ni en más de una ocasión durante el mismo día.</w:t>
            </w:r>
            <w:r w:rsidRPr="003C4166">
              <w:rPr>
                <w:rFonts w:ascii="Arial" w:hAnsi="Arial" w:cs="Arial"/>
                <w:b/>
                <w:color w:val="000000" w:themeColor="text1"/>
              </w:rPr>
              <w:t xml:space="preserve"> </w:t>
            </w:r>
          </w:p>
          <w:p w14:paraId="0AD76EB8" w14:textId="77777777" w:rsidR="00475244" w:rsidRPr="003C4166" w:rsidRDefault="00475244" w:rsidP="00D67516">
            <w:pPr>
              <w:jc w:val="both"/>
              <w:rPr>
                <w:rFonts w:ascii="Arial" w:hAnsi="Arial" w:cs="Arial"/>
                <w:b/>
                <w:color w:val="000000" w:themeColor="text1"/>
              </w:rPr>
            </w:pPr>
          </w:p>
          <w:p w14:paraId="05BF42D8" w14:textId="1851CE74" w:rsidR="00475244" w:rsidRPr="003C4166" w:rsidRDefault="00475244" w:rsidP="00D67516">
            <w:pPr>
              <w:jc w:val="both"/>
              <w:rPr>
                <w:rFonts w:ascii="Arial" w:hAnsi="Arial" w:cs="Arial"/>
                <w:color w:val="000000" w:themeColor="text1"/>
              </w:rPr>
            </w:pPr>
            <w:r w:rsidRPr="003C4166">
              <w:rPr>
                <w:rFonts w:ascii="Arial" w:hAnsi="Arial" w:cs="Arial"/>
                <w:color w:val="000000" w:themeColor="text1"/>
              </w:rPr>
              <w:t xml:space="preserve">Los gestores de cobranza deberán realizar sus prácticas de manera respetuosa y sin afectar la intimidad personal ni familiar del deudor, dentro del horario laboral estándar, esto es, de lunes a viernes y de 8:00 am a 6:00 pm, excluyendo cualquier tipo de contacto con el consumidor los fines de semana y días festivos. </w:t>
            </w:r>
          </w:p>
          <w:p w14:paraId="1573FC36" w14:textId="77777777" w:rsidR="00475244" w:rsidRPr="003C4166" w:rsidRDefault="00475244" w:rsidP="00D67516">
            <w:pPr>
              <w:jc w:val="both"/>
              <w:rPr>
                <w:rFonts w:ascii="Arial" w:hAnsi="Arial" w:cs="Arial"/>
                <w:color w:val="000000" w:themeColor="text1"/>
              </w:rPr>
            </w:pPr>
          </w:p>
        </w:tc>
      </w:tr>
      <w:tr w:rsidR="00700E8E" w:rsidRPr="003C4166" w14:paraId="1F29D9B2" w14:textId="77777777" w:rsidTr="00475244">
        <w:tc>
          <w:tcPr>
            <w:tcW w:w="4531" w:type="dxa"/>
          </w:tcPr>
          <w:p w14:paraId="088EBAD9" w14:textId="77777777" w:rsidR="00475244" w:rsidRPr="003C4166" w:rsidRDefault="00475244" w:rsidP="00D67516">
            <w:pPr>
              <w:jc w:val="both"/>
              <w:rPr>
                <w:rFonts w:ascii="Arial" w:hAnsi="Arial" w:cs="Arial"/>
                <w:color w:val="000000" w:themeColor="text1"/>
              </w:rPr>
            </w:pPr>
            <w:r w:rsidRPr="003C4166">
              <w:rPr>
                <w:rFonts w:ascii="Arial" w:hAnsi="Arial" w:cs="Arial"/>
                <w:b/>
                <w:color w:val="000000" w:themeColor="text1"/>
              </w:rPr>
              <w:lastRenderedPageBreak/>
              <w:t>Artículo 4.</w:t>
            </w:r>
            <w:r w:rsidRPr="003C4166">
              <w:rPr>
                <w:rFonts w:ascii="Arial" w:hAnsi="Arial" w:cs="Arial"/>
                <w:color w:val="000000" w:themeColor="text1"/>
              </w:rPr>
              <w:t xml:space="preserve"> En ningún caso, el consumidor financiero será contactado en más de una ocasión durante el mismo día.</w:t>
            </w:r>
          </w:p>
        </w:tc>
        <w:tc>
          <w:tcPr>
            <w:tcW w:w="4395" w:type="dxa"/>
          </w:tcPr>
          <w:p w14:paraId="0C2FC1C8" w14:textId="77777777" w:rsidR="00475244" w:rsidRPr="003C4166" w:rsidRDefault="00475244" w:rsidP="00D67516">
            <w:pPr>
              <w:jc w:val="both"/>
              <w:rPr>
                <w:rFonts w:ascii="Arial" w:hAnsi="Arial" w:cs="Arial"/>
                <w:color w:val="000000" w:themeColor="text1"/>
              </w:rPr>
            </w:pPr>
            <w:r w:rsidRPr="003C4166">
              <w:rPr>
                <w:rFonts w:ascii="Arial" w:hAnsi="Arial" w:cs="Arial"/>
                <w:color w:val="000000" w:themeColor="text1"/>
              </w:rPr>
              <w:t>ELIMINA</w:t>
            </w:r>
          </w:p>
        </w:tc>
      </w:tr>
      <w:tr w:rsidR="00700E8E" w:rsidRPr="003C4166" w14:paraId="4A51BE05" w14:textId="77777777" w:rsidTr="00475244">
        <w:tc>
          <w:tcPr>
            <w:tcW w:w="4531" w:type="dxa"/>
          </w:tcPr>
          <w:p w14:paraId="23913272" w14:textId="77777777" w:rsidR="00475244" w:rsidRPr="003C4166" w:rsidRDefault="00475244" w:rsidP="00D67516">
            <w:pPr>
              <w:jc w:val="both"/>
              <w:rPr>
                <w:rFonts w:ascii="Arial" w:hAnsi="Arial" w:cs="Arial"/>
                <w:color w:val="000000" w:themeColor="text1"/>
              </w:rPr>
            </w:pPr>
            <w:r w:rsidRPr="003C4166">
              <w:rPr>
                <w:rFonts w:ascii="Arial" w:hAnsi="Arial" w:cs="Arial"/>
                <w:b/>
                <w:color w:val="000000" w:themeColor="text1"/>
              </w:rPr>
              <w:t xml:space="preserve">Artículo 5. </w:t>
            </w:r>
            <w:r w:rsidRPr="003C4166">
              <w:rPr>
                <w:rFonts w:ascii="Arial" w:hAnsi="Arial" w:cs="Arial"/>
                <w:color w:val="000000" w:themeColor="text1"/>
              </w:rPr>
              <w:t>En ningún caso, las entidades vigiladas por la Superintendencia financiera podrán contactar a las referencias, avalista, codeudor y deudor solidario hasta pasados 30 días hábiles desde entrada de la obligación en mora, y el contacto se hará en las mismas condiciones que establece la presente ley.</w:t>
            </w:r>
          </w:p>
        </w:tc>
        <w:tc>
          <w:tcPr>
            <w:tcW w:w="4395" w:type="dxa"/>
          </w:tcPr>
          <w:p w14:paraId="3E23E3CE" w14:textId="1BBA5B7C" w:rsidR="00475244" w:rsidRPr="003C4166" w:rsidRDefault="00475244" w:rsidP="00D67516">
            <w:pPr>
              <w:jc w:val="both"/>
              <w:rPr>
                <w:rFonts w:ascii="Arial" w:hAnsi="Arial" w:cs="Arial"/>
                <w:b/>
                <w:color w:val="000000" w:themeColor="text1"/>
              </w:rPr>
            </w:pPr>
            <w:r w:rsidRPr="003C4166">
              <w:rPr>
                <w:rFonts w:ascii="Arial" w:hAnsi="Arial" w:cs="Arial"/>
                <w:b/>
                <w:color w:val="000000" w:themeColor="text1"/>
              </w:rPr>
              <w:t>Artículo 4.</w:t>
            </w:r>
            <w:r w:rsidRPr="003C4166">
              <w:rPr>
                <w:rFonts w:ascii="Arial" w:hAnsi="Arial" w:cs="Arial"/>
                <w:color w:val="000000" w:themeColor="text1"/>
              </w:rPr>
              <w:t xml:space="preserve"> En ningún caso, las entidades vigiladas por la Superintendencia Financiera podrán contactar a las referencias personales o de otra índole. Al avalista, codeudor o deudor solidario se le podrá contactar transcurridos 30 días hábiles posteriores a la constitución de la mora. El contacto se hará en las mismas condiciones que establece la presente ley.</w:t>
            </w:r>
          </w:p>
          <w:p w14:paraId="01E72EC8" w14:textId="77777777" w:rsidR="00475244" w:rsidRPr="003C4166" w:rsidRDefault="00475244" w:rsidP="00D67516">
            <w:pPr>
              <w:jc w:val="both"/>
              <w:rPr>
                <w:rFonts w:ascii="Arial" w:hAnsi="Arial" w:cs="Arial"/>
                <w:color w:val="000000" w:themeColor="text1"/>
              </w:rPr>
            </w:pPr>
          </w:p>
          <w:p w14:paraId="1CFA5313" w14:textId="575477BE" w:rsidR="00475244" w:rsidRPr="003C4166" w:rsidRDefault="00475244" w:rsidP="009E571D">
            <w:pPr>
              <w:jc w:val="both"/>
              <w:rPr>
                <w:rFonts w:ascii="Arial" w:hAnsi="Arial" w:cs="Arial"/>
                <w:color w:val="000000" w:themeColor="text1"/>
              </w:rPr>
            </w:pPr>
            <w:r w:rsidRPr="003C4166">
              <w:rPr>
                <w:rFonts w:ascii="Arial" w:hAnsi="Arial" w:cs="Arial"/>
                <w:color w:val="000000" w:themeColor="text1"/>
              </w:rPr>
              <w:t xml:space="preserve">Parágrafo. Una vez se inicie cualquier tipo de cobro jurídico hacia el consumidor financiero, se deberá poner fin a las actuaciones de cobranza extrajudicial por parte de la entidad financiera. </w:t>
            </w:r>
          </w:p>
        </w:tc>
      </w:tr>
      <w:tr w:rsidR="00700E8E" w:rsidRPr="003C4166" w14:paraId="028F6C8A" w14:textId="77777777" w:rsidTr="00475244">
        <w:tc>
          <w:tcPr>
            <w:tcW w:w="4531" w:type="dxa"/>
          </w:tcPr>
          <w:p w14:paraId="3CF3A68D" w14:textId="77777777" w:rsidR="00475244" w:rsidRPr="003C4166" w:rsidRDefault="00475244" w:rsidP="00D67516">
            <w:pPr>
              <w:jc w:val="both"/>
              <w:rPr>
                <w:rFonts w:ascii="Arial" w:hAnsi="Arial" w:cs="Arial"/>
                <w:color w:val="000000" w:themeColor="text1"/>
              </w:rPr>
            </w:pPr>
            <w:r w:rsidRPr="003C4166">
              <w:rPr>
                <w:rFonts w:ascii="Arial" w:hAnsi="Arial" w:cs="Arial"/>
                <w:b/>
                <w:color w:val="000000" w:themeColor="text1"/>
              </w:rPr>
              <w:t>Artículo 6.</w:t>
            </w:r>
            <w:r w:rsidRPr="003C4166">
              <w:rPr>
                <w:rFonts w:ascii="Arial" w:hAnsi="Arial" w:cs="Arial"/>
                <w:color w:val="000000" w:themeColor="text1"/>
              </w:rPr>
              <w:t xml:space="preserve"> Las entidades vigiladas por la Superintendencia financiera deberán contactar al consumidor financiero únicamente los días hábiles, de lunes a viernes, de 8 am a 6 pm.</w:t>
            </w:r>
          </w:p>
        </w:tc>
        <w:tc>
          <w:tcPr>
            <w:tcW w:w="4395" w:type="dxa"/>
          </w:tcPr>
          <w:p w14:paraId="15A1FDB9" w14:textId="50EB1012" w:rsidR="00475244" w:rsidRPr="003C4166" w:rsidRDefault="00475244" w:rsidP="009E571D">
            <w:pPr>
              <w:jc w:val="both"/>
              <w:rPr>
                <w:rFonts w:ascii="Arial" w:hAnsi="Arial" w:cs="Arial"/>
                <w:color w:val="000000" w:themeColor="text1"/>
              </w:rPr>
            </w:pPr>
            <w:r w:rsidRPr="003C4166">
              <w:rPr>
                <w:rFonts w:ascii="Arial" w:hAnsi="Arial" w:cs="Arial"/>
                <w:b/>
                <w:color w:val="000000" w:themeColor="text1"/>
              </w:rPr>
              <w:t xml:space="preserve">Artículo 5. </w:t>
            </w:r>
            <w:r w:rsidRPr="003C4166">
              <w:rPr>
                <w:rFonts w:ascii="Arial" w:hAnsi="Arial" w:cs="Arial"/>
                <w:color w:val="000000" w:themeColor="text1"/>
              </w:rPr>
              <w:t>Lo dispuesto en la presente ley se aplicará en los mismos términos a las relaciones comerciales entre los productores y/o proveedores de bienes y servicios que estén vigilados por una Superintendencia o sus intermediarios y el consumidor comercial.</w:t>
            </w:r>
          </w:p>
        </w:tc>
      </w:tr>
      <w:tr w:rsidR="00700E8E" w:rsidRPr="003C4166" w14:paraId="4145BB69" w14:textId="77777777" w:rsidTr="00475244">
        <w:tc>
          <w:tcPr>
            <w:tcW w:w="4531" w:type="dxa"/>
          </w:tcPr>
          <w:p w14:paraId="5343A4CD" w14:textId="77777777" w:rsidR="00475244" w:rsidRPr="003C4166" w:rsidRDefault="00475244" w:rsidP="00D67516">
            <w:pPr>
              <w:pStyle w:val="NormalWeb"/>
              <w:jc w:val="both"/>
              <w:rPr>
                <w:rFonts w:ascii="Arial" w:hAnsi="Arial" w:cs="Arial"/>
                <w:color w:val="000000" w:themeColor="text1"/>
                <w:sz w:val="22"/>
                <w:szCs w:val="22"/>
              </w:rPr>
            </w:pPr>
            <w:r w:rsidRPr="003C4166">
              <w:rPr>
                <w:rFonts w:ascii="Arial" w:hAnsi="Arial" w:cs="Arial"/>
                <w:b/>
                <w:color w:val="000000" w:themeColor="text1"/>
                <w:sz w:val="22"/>
                <w:szCs w:val="22"/>
              </w:rPr>
              <w:t>Artículo 7.</w:t>
            </w:r>
            <w:r w:rsidRPr="003C4166">
              <w:rPr>
                <w:rFonts w:ascii="Arial" w:hAnsi="Arial" w:cs="Arial"/>
                <w:color w:val="000000" w:themeColor="text1"/>
                <w:sz w:val="22"/>
                <w:szCs w:val="22"/>
              </w:rPr>
              <w:t xml:space="preserve"> Las entidades vigiladas por la Superintendencia financiera deberán abstenerse, salvo autorización escrita, de hacer visitas al domicilio o al lugar de trabajo del consumidor financiero.</w:t>
            </w:r>
          </w:p>
        </w:tc>
        <w:tc>
          <w:tcPr>
            <w:tcW w:w="4395" w:type="dxa"/>
          </w:tcPr>
          <w:p w14:paraId="1F1344DE" w14:textId="64D45868" w:rsidR="00475244" w:rsidRPr="003C4166" w:rsidRDefault="00475244" w:rsidP="009E571D">
            <w:pPr>
              <w:jc w:val="both"/>
              <w:rPr>
                <w:rFonts w:ascii="Arial" w:hAnsi="Arial" w:cs="Arial"/>
                <w:color w:val="000000" w:themeColor="text1"/>
              </w:rPr>
            </w:pPr>
            <w:r w:rsidRPr="003C4166">
              <w:rPr>
                <w:rFonts w:ascii="Arial" w:hAnsi="Arial" w:cs="Arial"/>
                <w:b/>
                <w:color w:val="000000" w:themeColor="text1"/>
              </w:rPr>
              <w:t>Artículo 6.</w:t>
            </w:r>
            <w:r w:rsidRPr="003C4166">
              <w:rPr>
                <w:rFonts w:ascii="Arial" w:hAnsi="Arial" w:cs="Arial"/>
                <w:color w:val="000000" w:themeColor="text1"/>
              </w:rPr>
              <w:t xml:space="preserve"> Las entidades vigiladas por la Superintendencia financiera no podrán hacer visitas al domicilio o al lugar de trabajo del consumidor financiero. </w:t>
            </w:r>
          </w:p>
        </w:tc>
      </w:tr>
      <w:tr w:rsidR="00700E8E" w:rsidRPr="003C4166" w14:paraId="653E234E" w14:textId="77777777" w:rsidTr="00475244">
        <w:tc>
          <w:tcPr>
            <w:tcW w:w="4531" w:type="dxa"/>
          </w:tcPr>
          <w:p w14:paraId="2B337EEA" w14:textId="77777777" w:rsidR="00475244" w:rsidRPr="003C4166" w:rsidRDefault="00475244" w:rsidP="00D67516">
            <w:pPr>
              <w:pStyle w:val="NormalWeb"/>
              <w:jc w:val="both"/>
              <w:rPr>
                <w:rFonts w:ascii="Arial" w:hAnsi="Arial" w:cs="Arial"/>
                <w:color w:val="000000" w:themeColor="text1"/>
                <w:sz w:val="22"/>
                <w:szCs w:val="22"/>
              </w:rPr>
            </w:pPr>
            <w:r w:rsidRPr="003C4166">
              <w:rPr>
                <w:rFonts w:ascii="Arial" w:hAnsi="Arial" w:cs="Arial"/>
                <w:b/>
                <w:color w:val="000000" w:themeColor="text1"/>
                <w:sz w:val="22"/>
                <w:szCs w:val="22"/>
              </w:rPr>
              <w:t>Artículo 8.</w:t>
            </w:r>
            <w:r w:rsidRPr="003C4166">
              <w:rPr>
                <w:rFonts w:ascii="Arial" w:hAnsi="Arial" w:cs="Arial"/>
                <w:color w:val="000000" w:themeColor="text1"/>
                <w:sz w:val="22"/>
                <w:szCs w:val="22"/>
              </w:rPr>
              <w:t xml:space="preserve"> Las entidades vigiladas por la Superintendencia financiera deberán abstenerse de consultar al consumidor financiero el motivo del incumplimiento de la obligación.</w:t>
            </w:r>
          </w:p>
        </w:tc>
        <w:tc>
          <w:tcPr>
            <w:tcW w:w="4395" w:type="dxa"/>
          </w:tcPr>
          <w:p w14:paraId="44811F8B" w14:textId="77777777" w:rsidR="00475244" w:rsidRPr="003C4166" w:rsidRDefault="00475244" w:rsidP="00D67516">
            <w:pPr>
              <w:jc w:val="both"/>
              <w:rPr>
                <w:rFonts w:ascii="Arial" w:hAnsi="Arial" w:cs="Arial"/>
                <w:color w:val="000000" w:themeColor="text1"/>
              </w:rPr>
            </w:pPr>
            <w:r w:rsidRPr="003C4166">
              <w:rPr>
                <w:rFonts w:ascii="Arial" w:hAnsi="Arial" w:cs="Arial"/>
                <w:b/>
                <w:color w:val="000000" w:themeColor="text1"/>
              </w:rPr>
              <w:t>Artículo 7.</w:t>
            </w:r>
            <w:r w:rsidRPr="003C4166">
              <w:rPr>
                <w:rFonts w:ascii="Arial" w:hAnsi="Arial" w:cs="Arial"/>
                <w:color w:val="000000" w:themeColor="text1"/>
              </w:rPr>
              <w:t xml:space="preserve"> Las entidades que adelanten gestiones de cobranza deberán abstenerse de consultar al consumidor financiero el motivo del incumplimiento de la obligación.</w:t>
            </w:r>
          </w:p>
          <w:p w14:paraId="28A3F6E2" w14:textId="77777777" w:rsidR="00475244" w:rsidRPr="003C4166" w:rsidRDefault="00475244" w:rsidP="00D67516">
            <w:pPr>
              <w:jc w:val="both"/>
              <w:rPr>
                <w:rFonts w:ascii="Arial" w:hAnsi="Arial" w:cs="Arial"/>
                <w:color w:val="000000" w:themeColor="text1"/>
              </w:rPr>
            </w:pPr>
          </w:p>
          <w:p w14:paraId="3542F858" w14:textId="41506DC4" w:rsidR="00475244" w:rsidRPr="003C4166" w:rsidRDefault="00475244" w:rsidP="009E571D">
            <w:pPr>
              <w:jc w:val="both"/>
              <w:rPr>
                <w:rFonts w:ascii="Arial" w:hAnsi="Arial" w:cs="Arial"/>
                <w:b/>
                <w:color w:val="000000" w:themeColor="text1"/>
              </w:rPr>
            </w:pPr>
            <w:r w:rsidRPr="003C4166">
              <w:rPr>
                <w:rFonts w:ascii="Arial" w:hAnsi="Arial" w:cs="Arial"/>
                <w:color w:val="000000" w:themeColor="text1"/>
              </w:rPr>
              <w:t>Parágrafo. Lo dispuesto en este artículo no obsta para que se consulten al deudor alternativas de pago que sean acordes con su situación financiera.</w:t>
            </w:r>
            <w:r w:rsidRPr="003C4166">
              <w:rPr>
                <w:rFonts w:ascii="Arial" w:hAnsi="Arial" w:cs="Arial"/>
                <w:b/>
                <w:color w:val="000000" w:themeColor="text1"/>
              </w:rPr>
              <w:t xml:space="preserve"> </w:t>
            </w:r>
          </w:p>
        </w:tc>
      </w:tr>
      <w:tr w:rsidR="00700E8E" w:rsidRPr="003C4166" w14:paraId="55990513" w14:textId="77777777" w:rsidTr="00475244">
        <w:tc>
          <w:tcPr>
            <w:tcW w:w="4531" w:type="dxa"/>
          </w:tcPr>
          <w:p w14:paraId="1BDD5149" w14:textId="77777777" w:rsidR="00475244" w:rsidRPr="003C4166" w:rsidRDefault="00475244" w:rsidP="00D67516">
            <w:pPr>
              <w:pStyle w:val="NormalWeb"/>
              <w:jc w:val="both"/>
              <w:rPr>
                <w:rFonts w:ascii="Arial" w:hAnsi="Arial" w:cs="Arial"/>
                <w:color w:val="000000" w:themeColor="text1"/>
                <w:sz w:val="22"/>
                <w:szCs w:val="22"/>
              </w:rPr>
            </w:pPr>
            <w:r w:rsidRPr="003C4166">
              <w:rPr>
                <w:rFonts w:ascii="Arial" w:hAnsi="Arial" w:cs="Arial"/>
                <w:b/>
                <w:color w:val="000000" w:themeColor="text1"/>
                <w:sz w:val="22"/>
                <w:szCs w:val="22"/>
              </w:rPr>
              <w:t>Artículo 9.</w:t>
            </w:r>
            <w:r w:rsidRPr="003C4166">
              <w:rPr>
                <w:rFonts w:ascii="Arial" w:hAnsi="Arial" w:cs="Arial"/>
                <w:color w:val="000000" w:themeColor="text1"/>
                <w:sz w:val="22"/>
                <w:szCs w:val="22"/>
              </w:rPr>
              <w:t xml:space="preserve"> Se exceptúan de las medidas anteriores los contactos que tengan como finalidad generar alertas sobre transacciones fraudulentas, inusuales o sospechosas.</w:t>
            </w:r>
          </w:p>
        </w:tc>
        <w:tc>
          <w:tcPr>
            <w:tcW w:w="4395" w:type="dxa"/>
          </w:tcPr>
          <w:p w14:paraId="2E60E0B3" w14:textId="458FC5D4" w:rsidR="00475244" w:rsidRPr="003C4166" w:rsidRDefault="00475244" w:rsidP="009E571D">
            <w:pPr>
              <w:jc w:val="both"/>
              <w:rPr>
                <w:rFonts w:ascii="Arial" w:hAnsi="Arial" w:cs="Arial"/>
                <w:color w:val="000000" w:themeColor="text1"/>
              </w:rPr>
            </w:pPr>
            <w:r w:rsidRPr="003C4166">
              <w:rPr>
                <w:rFonts w:ascii="Arial" w:hAnsi="Arial" w:cs="Arial"/>
                <w:b/>
                <w:color w:val="000000" w:themeColor="text1"/>
              </w:rPr>
              <w:t>Artículo 8.</w:t>
            </w:r>
            <w:r w:rsidRPr="003C4166">
              <w:rPr>
                <w:rFonts w:ascii="Arial" w:hAnsi="Arial" w:cs="Arial"/>
                <w:color w:val="000000" w:themeColor="text1"/>
              </w:rPr>
              <w:t xml:space="preserve"> Se exceptúan de las medidas anteriores los contactos que tengan como finalidad informar al consumidor sobre transacciones realizadas, información por él solicitada o generar alertas sobre transacciones fraudulentas, inusuales o sospechosas. </w:t>
            </w:r>
          </w:p>
        </w:tc>
      </w:tr>
      <w:tr w:rsidR="00700E8E" w:rsidRPr="003C4166" w14:paraId="3FDDA391" w14:textId="77777777" w:rsidTr="00475244">
        <w:tc>
          <w:tcPr>
            <w:tcW w:w="4531" w:type="dxa"/>
          </w:tcPr>
          <w:p w14:paraId="6A647FC5" w14:textId="77777777" w:rsidR="00475244" w:rsidRPr="003C4166" w:rsidRDefault="00475244" w:rsidP="00D67516">
            <w:pPr>
              <w:pStyle w:val="NormalWeb"/>
              <w:jc w:val="both"/>
              <w:rPr>
                <w:rFonts w:ascii="Arial" w:hAnsi="Arial" w:cs="Arial"/>
                <w:color w:val="000000" w:themeColor="text1"/>
                <w:sz w:val="22"/>
                <w:szCs w:val="22"/>
              </w:rPr>
            </w:pPr>
            <w:r w:rsidRPr="003C4166">
              <w:rPr>
                <w:rFonts w:ascii="Arial" w:hAnsi="Arial" w:cs="Arial"/>
                <w:b/>
                <w:color w:val="000000" w:themeColor="text1"/>
                <w:sz w:val="22"/>
                <w:szCs w:val="22"/>
              </w:rPr>
              <w:t>Artículo 10.</w:t>
            </w:r>
            <w:r w:rsidRPr="003C4166">
              <w:rPr>
                <w:rFonts w:ascii="Arial" w:hAnsi="Arial" w:cs="Arial"/>
                <w:color w:val="000000" w:themeColor="text1"/>
                <w:sz w:val="22"/>
                <w:szCs w:val="22"/>
              </w:rPr>
              <w:t xml:space="preserve"> El incumplimiento de las medidas de protección de que trata la presente ley, se considerará práctica abusiva en los términos del artículo 12 de la </w:t>
            </w:r>
            <w:r w:rsidRPr="003C4166">
              <w:rPr>
                <w:rFonts w:ascii="Arial" w:hAnsi="Arial" w:cs="Arial"/>
                <w:color w:val="000000" w:themeColor="text1"/>
                <w:sz w:val="22"/>
                <w:szCs w:val="22"/>
              </w:rPr>
              <w:lastRenderedPageBreak/>
              <w:t>Ley 1328 de 2009, y se sancionará conforme al Capítulo VIII del Título I de la misma y sus normas complementarias.</w:t>
            </w:r>
          </w:p>
        </w:tc>
        <w:tc>
          <w:tcPr>
            <w:tcW w:w="4395" w:type="dxa"/>
          </w:tcPr>
          <w:p w14:paraId="403156D9" w14:textId="77777777" w:rsidR="00475244" w:rsidRPr="003C4166" w:rsidRDefault="00475244" w:rsidP="00D67516">
            <w:pPr>
              <w:jc w:val="both"/>
              <w:rPr>
                <w:rFonts w:ascii="Arial" w:hAnsi="Arial" w:cs="Arial"/>
                <w:color w:val="000000" w:themeColor="text1"/>
              </w:rPr>
            </w:pPr>
            <w:r w:rsidRPr="003C4166">
              <w:rPr>
                <w:rFonts w:ascii="Arial" w:hAnsi="Arial" w:cs="Arial"/>
                <w:b/>
                <w:color w:val="000000" w:themeColor="text1"/>
              </w:rPr>
              <w:lastRenderedPageBreak/>
              <w:t>Artículo 9.</w:t>
            </w:r>
            <w:r w:rsidRPr="003C4166">
              <w:rPr>
                <w:rFonts w:ascii="Arial" w:hAnsi="Arial" w:cs="Arial"/>
                <w:color w:val="000000" w:themeColor="text1"/>
              </w:rPr>
              <w:t xml:space="preserve"> El incumplimiento de las medidas de protección de que trata la presente ley, se considerará práctica abusiva en los términos del artículo 12 de </w:t>
            </w:r>
            <w:r w:rsidRPr="003C4166">
              <w:rPr>
                <w:rFonts w:ascii="Arial" w:hAnsi="Arial" w:cs="Arial"/>
                <w:color w:val="000000" w:themeColor="text1"/>
              </w:rPr>
              <w:lastRenderedPageBreak/>
              <w:t>la Ley 1328 de 2009, y se sancionará conforme al Capítulo VIII del Título I de la misma y sus normas complementarias.</w:t>
            </w:r>
          </w:p>
        </w:tc>
      </w:tr>
      <w:tr w:rsidR="00700E8E" w:rsidRPr="003C4166" w14:paraId="5B97D111" w14:textId="77777777" w:rsidTr="00475244">
        <w:tc>
          <w:tcPr>
            <w:tcW w:w="4531" w:type="dxa"/>
          </w:tcPr>
          <w:p w14:paraId="34D8B842" w14:textId="77777777" w:rsidR="00475244" w:rsidRPr="003C4166" w:rsidRDefault="00475244" w:rsidP="00D67516">
            <w:pPr>
              <w:pStyle w:val="NormalWeb"/>
              <w:jc w:val="both"/>
              <w:rPr>
                <w:rFonts w:ascii="Arial" w:hAnsi="Arial" w:cs="Arial"/>
                <w:color w:val="000000" w:themeColor="text1"/>
                <w:sz w:val="22"/>
                <w:szCs w:val="22"/>
              </w:rPr>
            </w:pPr>
            <w:r w:rsidRPr="003C4166">
              <w:rPr>
                <w:rFonts w:ascii="Arial" w:hAnsi="Arial" w:cs="Arial"/>
                <w:b/>
                <w:color w:val="000000" w:themeColor="text1"/>
                <w:sz w:val="22"/>
                <w:szCs w:val="22"/>
              </w:rPr>
              <w:lastRenderedPageBreak/>
              <w:t>Artículo 11. Vigencia.</w:t>
            </w:r>
            <w:r w:rsidRPr="003C4166">
              <w:rPr>
                <w:rFonts w:ascii="Arial" w:hAnsi="Arial" w:cs="Arial"/>
                <w:color w:val="000000" w:themeColor="text1"/>
                <w:sz w:val="22"/>
                <w:szCs w:val="22"/>
              </w:rPr>
              <w:t xml:space="preserve"> La presente Ley rige a partir de su promulgación y deroga las disposiciones que le sean contrarias.</w:t>
            </w:r>
          </w:p>
        </w:tc>
        <w:tc>
          <w:tcPr>
            <w:tcW w:w="4395" w:type="dxa"/>
          </w:tcPr>
          <w:p w14:paraId="19187D9E" w14:textId="77777777" w:rsidR="00475244" w:rsidRPr="003C4166" w:rsidRDefault="00475244" w:rsidP="00D67516">
            <w:pPr>
              <w:jc w:val="both"/>
              <w:rPr>
                <w:rFonts w:ascii="Arial" w:hAnsi="Arial" w:cs="Arial"/>
                <w:color w:val="000000" w:themeColor="text1"/>
              </w:rPr>
            </w:pPr>
            <w:r w:rsidRPr="003C4166">
              <w:rPr>
                <w:rFonts w:ascii="Arial" w:hAnsi="Arial" w:cs="Arial"/>
                <w:b/>
                <w:color w:val="000000" w:themeColor="text1"/>
              </w:rPr>
              <w:t>Artículo 10. Vigencia.</w:t>
            </w:r>
            <w:r w:rsidRPr="003C4166">
              <w:rPr>
                <w:rFonts w:ascii="Arial" w:hAnsi="Arial" w:cs="Arial"/>
                <w:color w:val="000000" w:themeColor="text1"/>
              </w:rPr>
              <w:t xml:space="preserve"> La presente Ley rige a partir de su promulgación y deroga las disposiciones que le sean contrarias.</w:t>
            </w:r>
          </w:p>
        </w:tc>
      </w:tr>
    </w:tbl>
    <w:p w14:paraId="69272579" w14:textId="77777777" w:rsidR="00AC7859" w:rsidRPr="003C4166" w:rsidRDefault="00AC7859" w:rsidP="00AC7859">
      <w:pPr>
        <w:adjustRightInd w:val="0"/>
        <w:spacing w:after="57"/>
        <w:contextualSpacing/>
        <w:textAlignment w:val="center"/>
        <w:rPr>
          <w:rFonts w:ascii="Arial" w:eastAsia="Times New Roman" w:hAnsi="Arial" w:cs="Arial"/>
          <w:b/>
          <w:color w:val="000000" w:themeColor="text1"/>
          <w:lang w:eastAsia="es-CO"/>
        </w:rPr>
      </w:pPr>
    </w:p>
    <w:p w14:paraId="199CC030" w14:textId="2FFB81DE" w:rsidR="000354FB" w:rsidRPr="003C4166" w:rsidRDefault="000354FB" w:rsidP="00AC7859">
      <w:pPr>
        <w:adjustRightInd w:val="0"/>
        <w:spacing w:after="57"/>
        <w:contextualSpacing/>
        <w:textAlignment w:val="center"/>
        <w:rPr>
          <w:rFonts w:ascii="Arial" w:eastAsia="Times New Roman" w:hAnsi="Arial" w:cs="Arial"/>
          <w:b/>
          <w:color w:val="000000" w:themeColor="text1"/>
          <w:lang w:eastAsia="es-CO"/>
        </w:rPr>
      </w:pPr>
    </w:p>
    <w:p w14:paraId="2D85A118" w14:textId="77777777" w:rsidR="008C1557" w:rsidRPr="003C4166" w:rsidRDefault="008C1557" w:rsidP="008C1557">
      <w:pPr>
        <w:pStyle w:val="Prrafodelista"/>
        <w:numPr>
          <w:ilvl w:val="0"/>
          <w:numId w:val="7"/>
        </w:numPr>
        <w:adjustRightInd w:val="0"/>
        <w:spacing w:after="57"/>
        <w:contextualSpacing/>
        <w:textAlignment w:val="center"/>
        <w:rPr>
          <w:rFonts w:eastAsia="Times New Roman"/>
          <w:b/>
          <w:color w:val="000000" w:themeColor="text1"/>
          <w:lang w:eastAsia="es-CO"/>
        </w:rPr>
      </w:pPr>
      <w:r w:rsidRPr="003C4166">
        <w:rPr>
          <w:rFonts w:eastAsia="Times New Roman"/>
          <w:b/>
          <w:color w:val="000000" w:themeColor="text1"/>
          <w:lang w:eastAsia="es-CO"/>
        </w:rPr>
        <w:t xml:space="preserve"> PROPOSICIÓN.</w:t>
      </w:r>
    </w:p>
    <w:p w14:paraId="7A81DD46" w14:textId="77777777" w:rsidR="008C1557" w:rsidRPr="003C4166" w:rsidRDefault="008C1557" w:rsidP="008C1557">
      <w:pPr>
        <w:adjustRightInd w:val="0"/>
        <w:spacing w:after="57"/>
        <w:contextualSpacing/>
        <w:textAlignment w:val="center"/>
        <w:rPr>
          <w:rFonts w:ascii="Arial" w:eastAsia="Times New Roman" w:hAnsi="Arial" w:cs="Arial"/>
          <w:b/>
          <w:color w:val="000000" w:themeColor="text1"/>
          <w:lang w:eastAsia="es-CO"/>
        </w:rPr>
      </w:pPr>
    </w:p>
    <w:p w14:paraId="6312B22D" w14:textId="4D532102" w:rsidR="008C1557" w:rsidRPr="003C4166" w:rsidRDefault="008C1557" w:rsidP="008C1557">
      <w:pPr>
        <w:adjustRightInd w:val="0"/>
        <w:spacing w:after="57"/>
        <w:contextualSpacing/>
        <w:jc w:val="both"/>
        <w:textAlignment w:val="center"/>
        <w:rPr>
          <w:rFonts w:ascii="Arial" w:eastAsia="Times New Roman" w:hAnsi="Arial" w:cs="Arial"/>
          <w:bCs/>
          <w:color w:val="000000" w:themeColor="text1"/>
          <w:lang w:eastAsia="es-CO"/>
        </w:rPr>
      </w:pPr>
      <w:r w:rsidRPr="003C4166">
        <w:rPr>
          <w:rFonts w:ascii="Arial" w:hAnsi="Arial" w:cs="Arial"/>
          <w:color w:val="000000" w:themeColor="text1"/>
        </w:rPr>
        <w:t xml:space="preserve">Considerando los argumentos expuestos, propongo a la Honorable Cámara de </w:t>
      </w:r>
      <w:r w:rsidR="009E571D" w:rsidRPr="003C4166">
        <w:rPr>
          <w:rFonts w:ascii="Arial" w:hAnsi="Arial" w:cs="Arial"/>
          <w:color w:val="000000" w:themeColor="text1"/>
        </w:rPr>
        <w:t>representantes dar segundo debate al proyecto de ley no. 017 de 2021 cámara “por medio del cual se establecen medidas que protejan el derecho a la intimidad de los consumidores financieros”</w:t>
      </w:r>
      <w:r w:rsidR="00FC7B84" w:rsidRPr="003C4166">
        <w:rPr>
          <w:rFonts w:ascii="Arial" w:hAnsi="Arial" w:cs="Arial"/>
          <w:color w:val="000000" w:themeColor="text1"/>
        </w:rPr>
        <w:t>.</w:t>
      </w:r>
    </w:p>
    <w:p w14:paraId="5F4A49FA" w14:textId="77777777" w:rsidR="008C1557" w:rsidRPr="003C4166" w:rsidRDefault="008C1557" w:rsidP="008C1557">
      <w:pPr>
        <w:spacing w:after="0" w:line="240" w:lineRule="auto"/>
        <w:jc w:val="both"/>
        <w:rPr>
          <w:rFonts w:ascii="Arial" w:hAnsi="Arial" w:cs="Arial"/>
          <w:color w:val="000000" w:themeColor="text1"/>
        </w:rPr>
      </w:pPr>
    </w:p>
    <w:p w14:paraId="1E9DA9E1" w14:textId="77777777" w:rsidR="00A771B9" w:rsidRDefault="00A771B9" w:rsidP="00A771B9">
      <w:pPr>
        <w:spacing w:after="0" w:line="240" w:lineRule="auto"/>
        <w:jc w:val="both"/>
        <w:rPr>
          <w:rFonts w:ascii="Arial" w:hAnsi="Arial" w:cs="Arial"/>
          <w:b/>
          <w:color w:val="000000" w:themeColor="text1"/>
          <w:lang w:val="es-ES_tradnl"/>
        </w:rPr>
      </w:pPr>
    </w:p>
    <w:p w14:paraId="5F92EAAE" w14:textId="77777777" w:rsidR="00A771B9" w:rsidRDefault="00A771B9" w:rsidP="00A771B9">
      <w:pPr>
        <w:spacing w:after="0" w:line="240" w:lineRule="auto"/>
        <w:jc w:val="both"/>
        <w:rPr>
          <w:rFonts w:ascii="Arial" w:hAnsi="Arial" w:cs="Arial"/>
          <w:b/>
          <w:color w:val="000000" w:themeColor="text1"/>
          <w:lang w:val="es-ES_tradnl"/>
        </w:rPr>
      </w:pPr>
    </w:p>
    <w:p w14:paraId="22420648" w14:textId="77777777" w:rsidR="00A771B9" w:rsidRDefault="00A771B9" w:rsidP="00A771B9">
      <w:pPr>
        <w:spacing w:after="0" w:line="240" w:lineRule="auto"/>
        <w:jc w:val="both"/>
        <w:rPr>
          <w:rFonts w:ascii="Arial" w:hAnsi="Arial" w:cs="Arial"/>
          <w:b/>
          <w:color w:val="000000" w:themeColor="text1"/>
          <w:lang w:val="es-ES_tradnl"/>
        </w:rPr>
      </w:pPr>
    </w:p>
    <w:p w14:paraId="7DC87B6E" w14:textId="0381B210" w:rsidR="00A771B9" w:rsidRPr="003C4166" w:rsidRDefault="00A771B9" w:rsidP="00A771B9">
      <w:pPr>
        <w:spacing w:after="0" w:line="240" w:lineRule="auto"/>
        <w:jc w:val="both"/>
        <w:rPr>
          <w:rFonts w:ascii="Arial" w:hAnsi="Arial" w:cs="Arial"/>
          <w:b/>
          <w:color w:val="000000" w:themeColor="text1"/>
          <w:lang w:val="es-ES_tradnl"/>
        </w:rPr>
      </w:pPr>
      <w:r w:rsidRPr="003C4166">
        <w:rPr>
          <w:rFonts w:ascii="Arial" w:hAnsi="Arial" w:cs="Arial"/>
          <w:b/>
          <w:color w:val="000000" w:themeColor="text1"/>
          <w:lang w:val="es-ES_tradnl"/>
        </w:rPr>
        <w:t>JUAN CARLOS WILLS OSPINA</w:t>
      </w:r>
      <w:r w:rsidRPr="003C4166">
        <w:rPr>
          <w:rFonts w:ascii="Arial" w:hAnsi="Arial" w:cs="Arial"/>
          <w:b/>
          <w:color w:val="000000" w:themeColor="text1"/>
          <w:lang w:val="es-ES_tradnl"/>
        </w:rPr>
        <w:tab/>
      </w:r>
      <w:r w:rsidRPr="003C4166">
        <w:rPr>
          <w:rFonts w:ascii="Arial" w:hAnsi="Arial" w:cs="Arial"/>
          <w:b/>
          <w:color w:val="000000" w:themeColor="text1"/>
          <w:lang w:val="es-ES_tradnl"/>
        </w:rPr>
        <w:tab/>
      </w:r>
      <w:r w:rsidR="00756437">
        <w:rPr>
          <w:rFonts w:ascii="Arial" w:hAnsi="Arial" w:cs="Arial"/>
          <w:b/>
          <w:color w:val="000000" w:themeColor="text1"/>
          <w:lang w:val="es-ES_tradnl"/>
        </w:rPr>
        <w:tab/>
        <w:t>CESAR AUGUS</w:t>
      </w:r>
      <w:r>
        <w:rPr>
          <w:rFonts w:ascii="Arial" w:hAnsi="Arial" w:cs="Arial"/>
          <w:b/>
          <w:color w:val="000000" w:themeColor="text1"/>
          <w:lang w:val="es-ES_tradnl"/>
        </w:rPr>
        <w:t>TO LORDUY</w:t>
      </w:r>
    </w:p>
    <w:p w14:paraId="0F343223" w14:textId="77777777" w:rsidR="00A771B9" w:rsidRPr="003C4166" w:rsidRDefault="00A771B9" w:rsidP="00A771B9">
      <w:pPr>
        <w:spacing w:after="0" w:line="240" w:lineRule="auto"/>
        <w:jc w:val="both"/>
        <w:rPr>
          <w:rFonts w:ascii="Arial" w:hAnsi="Arial" w:cs="Arial"/>
          <w:color w:val="000000" w:themeColor="text1"/>
          <w:lang w:val="es-ES_tradnl"/>
        </w:rPr>
      </w:pPr>
      <w:r w:rsidRPr="003C4166">
        <w:rPr>
          <w:rFonts w:ascii="Arial" w:hAnsi="Arial" w:cs="Arial"/>
          <w:color w:val="000000" w:themeColor="text1"/>
          <w:lang w:val="es-ES_tradnl"/>
        </w:rPr>
        <w:t>Representante a la cámara</w:t>
      </w:r>
      <w:r w:rsidRPr="003C4166">
        <w:rPr>
          <w:rFonts w:ascii="Arial" w:hAnsi="Arial" w:cs="Arial"/>
          <w:color w:val="000000" w:themeColor="text1"/>
          <w:lang w:val="es-ES_tradnl"/>
        </w:rPr>
        <w:tab/>
        <w:t xml:space="preserve">                         </w:t>
      </w:r>
      <w:r>
        <w:rPr>
          <w:rFonts w:ascii="Arial" w:hAnsi="Arial" w:cs="Arial"/>
          <w:color w:val="000000" w:themeColor="text1"/>
          <w:lang w:val="es-ES_tradnl"/>
        </w:rPr>
        <w:tab/>
      </w:r>
      <w:r w:rsidRPr="003C4166">
        <w:rPr>
          <w:rFonts w:ascii="Arial" w:hAnsi="Arial" w:cs="Arial"/>
          <w:color w:val="000000" w:themeColor="text1"/>
          <w:lang w:val="es-ES_tradnl"/>
        </w:rPr>
        <w:t>Representante a la cámara</w:t>
      </w:r>
      <w:r w:rsidRPr="003C4166">
        <w:rPr>
          <w:rFonts w:ascii="Arial" w:hAnsi="Arial" w:cs="Arial"/>
          <w:color w:val="000000" w:themeColor="text1"/>
          <w:lang w:val="es-ES_tradnl"/>
        </w:rPr>
        <w:tab/>
        <w:t xml:space="preserve">          </w:t>
      </w:r>
    </w:p>
    <w:p w14:paraId="60740FE7" w14:textId="77777777" w:rsidR="00A771B9" w:rsidRPr="003C4166" w:rsidRDefault="00A771B9" w:rsidP="00A771B9">
      <w:pPr>
        <w:tabs>
          <w:tab w:val="left" w:pos="708"/>
          <w:tab w:val="left" w:pos="1416"/>
          <w:tab w:val="left" w:pos="2124"/>
          <w:tab w:val="left" w:pos="2832"/>
          <w:tab w:val="left" w:pos="3540"/>
          <w:tab w:val="center" w:pos="4702"/>
        </w:tabs>
        <w:spacing w:after="0" w:line="240" w:lineRule="auto"/>
        <w:jc w:val="both"/>
        <w:rPr>
          <w:rFonts w:ascii="Arial" w:hAnsi="Arial" w:cs="Arial"/>
          <w:color w:val="000000" w:themeColor="text1"/>
          <w:lang w:val="es-ES_tradnl"/>
        </w:rPr>
      </w:pPr>
      <w:r w:rsidRPr="003C4166">
        <w:rPr>
          <w:rFonts w:ascii="Arial" w:hAnsi="Arial" w:cs="Arial"/>
          <w:color w:val="000000" w:themeColor="text1"/>
          <w:lang w:val="es-ES_tradnl"/>
        </w:rPr>
        <w:t>Ponente</w:t>
      </w:r>
      <w:r w:rsidRPr="003C4166">
        <w:rPr>
          <w:rFonts w:ascii="Arial" w:hAnsi="Arial" w:cs="Arial"/>
          <w:color w:val="000000" w:themeColor="text1"/>
          <w:lang w:val="es-ES_tradnl"/>
        </w:rPr>
        <w:tab/>
      </w:r>
      <w:r w:rsidRPr="003C4166">
        <w:rPr>
          <w:rFonts w:ascii="Arial" w:hAnsi="Arial" w:cs="Arial"/>
          <w:color w:val="000000" w:themeColor="text1"/>
          <w:lang w:val="es-ES_tradnl"/>
        </w:rPr>
        <w:tab/>
      </w:r>
      <w:r w:rsidRPr="003C4166">
        <w:rPr>
          <w:rFonts w:ascii="Arial" w:hAnsi="Arial" w:cs="Arial"/>
          <w:color w:val="000000" w:themeColor="text1"/>
          <w:lang w:val="es-ES_tradnl"/>
        </w:rPr>
        <w:tab/>
      </w:r>
      <w:r w:rsidRPr="003C4166">
        <w:rPr>
          <w:rFonts w:ascii="Arial" w:hAnsi="Arial" w:cs="Arial"/>
          <w:color w:val="000000" w:themeColor="text1"/>
          <w:lang w:val="es-ES_tradnl"/>
        </w:rPr>
        <w:tab/>
      </w:r>
      <w:r>
        <w:rPr>
          <w:rFonts w:ascii="Arial" w:hAnsi="Arial" w:cs="Arial"/>
          <w:color w:val="000000" w:themeColor="text1"/>
          <w:lang w:val="es-ES_tradnl"/>
        </w:rPr>
        <w:tab/>
      </w:r>
      <w:r>
        <w:rPr>
          <w:rFonts w:ascii="Arial" w:hAnsi="Arial" w:cs="Arial"/>
          <w:color w:val="000000" w:themeColor="text1"/>
          <w:lang w:val="es-ES_tradnl"/>
        </w:rPr>
        <w:tab/>
      </w:r>
      <w:proofErr w:type="spellStart"/>
      <w:r w:rsidRPr="003C4166">
        <w:rPr>
          <w:rFonts w:ascii="Arial" w:hAnsi="Arial" w:cs="Arial"/>
          <w:color w:val="000000" w:themeColor="text1"/>
          <w:lang w:val="es-ES_tradnl"/>
        </w:rPr>
        <w:t>Ponente</w:t>
      </w:r>
      <w:proofErr w:type="spellEnd"/>
      <w:r w:rsidRPr="003C4166">
        <w:rPr>
          <w:rFonts w:ascii="Arial" w:hAnsi="Arial" w:cs="Arial"/>
          <w:color w:val="000000" w:themeColor="text1"/>
          <w:lang w:val="es-ES_tradnl"/>
        </w:rPr>
        <w:tab/>
      </w:r>
    </w:p>
    <w:p w14:paraId="24AD8475" w14:textId="05C1FB0B" w:rsidR="00A771B9" w:rsidRPr="003C4166" w:rsidRDefault="00A771B9" w:rsidP="00A771B9">
      <w:pPr>
        <w:spacing w:after="0" w:line="240" w:lineRule="auto"/>
        <w:jc w:val="both"/>
        <w:rPr>
          <w:rFonts w:ascii="Arial" w:hAnsi="Arial" w:cs="Arial"/>
          <w:color w:val="000000" w:themeColor="text1"/>
          <w:lang w:val="es-ES_tradnl"/>
        </w:rPr>
      </w:pPr>
      <w:r w:rsidRPr="003C4166">
        <w:rPr>
          <w:rFonts w:ascii="Arial" w:hAnsi="Arial" w:cs="Arial"/>
          <w:color w:val="000000" w:themeColor="text1"/>
          <w:lang w:val="es-ES_tradnl"/>
        </w:rPr>
        <w:tab/>
      </w:r>
      <w:r w:rsidRPr="003C4166">
        <w:rPr>
          <w:rFonts w:ascii="Arial" w:hAnsi="Arial" w:cs="Arial"/>
          <w:color w:val="000000" w:themeColor="text1"/>
          <w:lang w:val="es-ES_tradnl"/>
        </w:rPr>
        <w:tab/>
      </w:r>
      <w:r w:rsidRPr="003C4166">
        <w:rPr>
          <w:rFonts w:ascii="Arial" w:hAnsi="Arial" w:cs="Arial"/>
          <w:color w:val="000000" w:themeColor="text1"/>
          <w:lang w:val="es-ES_tradnl"/>
        </w:rPr>
        <w:tab/>
      </w:r>
    </w:p>
    <w:p w14:paraId="33E1A9B7" w14:textId="77777777" w:rsidR="00AC7859" w:rsidRPr="003C4166" w:rsidRDefault="00AC7859" w:rsidP="00AC7859">
      <w:pPr>
        <w:adjustRightInd w:val="0"/>
        <w:spacing w:after="57"/>
        <w:contextualSpacing/>
        <w:jc w:val="center"/>
        <w:textAlignment w:val="center"/>
        <w:rPr>
          <w:rFonts w:ascii="Arial" w:eastAsia="Times New Roman" w:hAnsi="Arial" w:cs="Arial"/>
          <w:b/>
          <w:color w:val="000000" w:themeColor="text1"/>
          <w:lang w:val="es-ES_tradnl" w:eastAsia="es-CO"/>
        </w:rPr>
      </w:pPr>
    </w:p>
    <w:p w14:paraId="7FC40A69" w14:textId="77777777" w:rsidR="008D6DBF" w:rsidRPr="003C4166" w:rsidRDefault="008D6DBF" w:rsidP="009E571D">
      <w:pPr>
        <w:jc w:val="both"/>
        <w:rPr>
          <w:rFonts w:ascii="Arial" w:hAnsi="Arial" w:cs="Arial"/>
          <w:b/>
          <w:color w:val="000000" w:themeColor="text1"/>
        </w:rPr>
      </w:pPr>
      <w:r w:rsidRPr="003C4166">
        <w:rPr>
          <w:rFonts w:ascii="Arial" w:hAnsi="Arial" w:cs="Arial"/>
          <w:b/>
          <w:color w:val="000000" w:themeColor="text1"/>
        </w:rPr>
        <w:t>TEXTO PROPUESTO PARA SEGUNDO DEBATE EN CÁMARA DEL PROYECTO DE LEY No. 017 DE 2021 CÁMARA “POR MEDIO DEL CUAL SE ESTABLECEN MEDIDAS QUE PROTEJAN EL DERECHO A LA INTIMIDAD DE LOS CONSUMIDORES FINANCIEROS”</w:t>
      </w:r>
    </w:p>
    <w:p w14:paraId="06D7365A" w14:textId="77777777" w:rsidR="009E571D" w:rsidRPr="003C4166" w:rsidRDefault="009E571D" w:rsidP="008D6DBF">
      <w:pPr>
        <w:jc w:val="center"/>
        <w:rPr>
          <w:rFonts w:ascii="Arial" w:hAnsi="Arial" w:cs="Arial"/>
          <w:b/>
          <w:color w:val="000000" w:themeColor="text1"/>
        </w:rPr>
      </w:pPr>
    </w:p>
    <w:p w14:paraId="1ED052A9" w14:textId="77777777" w:rsidR="008D6DBF" w:rsidRPr="003C4166" w:rsidRDefault="008D6DBF" w:rsidP="008D6DBF">
      <w:pPr>
        <w:jc w:val="center"/>
        <w:rPr>
          <w:rFonts w:ascii="Arial" w:hAnsi="Arial" w:cs="Arial"/>
          <w:b/>
          <w:color w:val="000000" w:themeColor="text1"/>
        </w:rPr>
      </w:pPr>
      <w:r w:rsidRPr="003C4166">
        <w:rPr>
          <w:rFonts w:ascii="Arial" w:hAnsi="Arial" w:cs="Arial"/>
          <w:b/>
          <w:color w:val="000000" w:themeColor="text1"/>
        </w:rPr>
        <w:t>EL CONGRESO DE COLOMBIA</w:t>
      </w:r>
    </w:p>
    <w:p w14:paraId="36D43A8E" w14:textId="77777777" w:rsidR="009E571D" w:rsidRPr="003C4166" w:rsidRDefault="009E571D" w:rsidP="008D6DBF">
      <w:pPr>
        <w:jc w:val="center"/>
        <w:rPr>
          <w:rFonts w:ascii="Arial" w:hAnsi="Arial" w:cs="Arial"/>
          <w:b/>
          <w:color w:val="000000" w:themeColor="text1"/>
        </w:rPr>
      </w:pPr>
    </w:p>
    <w:p w14:paraId="38FFE241" w14:textId="77777777" w:rsidR="008D6DBF" w:rsidRPr="003C4166" w:rsidRDefault="008D6DBF" w:rsidP="008D6DBF">
      <w:pPr>
        <w:jc w:val="center"/>
        <w:rPr>
          <w:rFonts w:ascii="Arial" w:hAnsi="Arial" w:cs="Arial"/>
          <w:b/>
          <w:color w:val="000000" w:themeColor="text1"/>
        </w:rPr>
      </w:pPr>
      <w:r w:rsidRPr="003C4166">
        <w:rPr>
          <w:rFonts w:ascii="Arial" w:hAnsi="Arial" w:cs="Arial"/>
          <w:b/>
          <w:color w:val="000000" w:themeColor="text1"/>
        </w:rPr>
        <w:t>DECRETA</w:t>
      </w:r>
    </w:p>
    <w:p w14:paraId="4B97AEAE" w14:textId="77777777" w:rsidR="008D6DBF" w:rsidRPr="003C4166" w:rsidRDefault="008D6DBF" w:rsidP="008D6DBF">
      <w:pPr>
        <w:jc w:val="center"/>
        <w:rPr>
          <w:rFonts w:ascii="Arial" w:hAnsi="Arial" w:cs="Arial"/>
          <w:b/>
          <w:color w:val="000000" w:themeColor="text1"/>
        </w:rPr>
      </w:pPr>
      <w:r w:rsidRPr="003C4166">
        <w:rPr>
          <w:rFonts w:ascii="Arial" w:hAnsi="Arial" w:cs="Arial"/>
          <w:b/>
          <w:color w:val="000000" w:themeColor="text1"/>
        </w:rPr>
        <w:t>PROYECTO DE LEY No. 017 DE 2021 CÁMARA</w:t>
      </w:r>
    </w:p>
    <w:p w14:paraId="1515259A" w14:textId="77777777" w:rsidR="008D6DBF" w:rsidRPr="003C4166" w:rsidRDefault="008D6DBF" w:rsidP="008D6DBF">
      <w:pPr>
        <w:jc w:val="center"/>
        <w:rPr>
          <w:rFonts w:ascii="Arial" w:hAnsi="Arial" w:cs="Arial"/>
          <w:b/>
          <w:color w:val="000000" w:themeColor="text1"/>
        </w:rPr>
      </w:pPr>
      <w:r w:rsidRPr="003C4166">
        <w:rPr>
          <w:rFonts w:ascii="Arial" w:hAnsi="Arial" w:cs="Arial"/>
          <w:b/>
          <w:color w:val="000000" w:themeColor="text1"/>
        </w:rPr>
        <w:t>“Por medio del cual se establecen medidas que protejan el derecho a la intimidad de los consumidores financieros”</w:t>
      </w:r>
    </w:p>
    <w:p w14:paraId="675036FF" w14:textId="77777777" w:rsidR="008D6DBF" w:rsidRPr="003C4166" w:rsidRDefault="008D6DBF" w:rsidP="008D6DBF">
      <w:pPr>
        <w:pStyle w:val="NormalWeb"/>
        <w:jc w:val="both"/>
        <w:rPr>
          <w:rFonts w:ascii="Arial" w:hAnsi="Arial" w:cs="Arial"/>
          <w:color w:val="000000" w:themeColor="text1"/>
          <w:sz w:val="22"/>
          <w:szCs w:val="22"/>
        </w:rPr>
      </w:pPr>
      <w:r w:rsidRPr="003C4166">
        <w:rPr>
          <w:rFonts w:ascii="Arial" w:hAnsi="Arial" w:cs="Arial"/>
          <w:b/>
          <w:color w:val="000000" w:themeColor="text1"/>
          <w:sz w:val="22"/>
          <w:szCs w:val="22"/>
        </w:rPr>
        <w:t xml:space="preserve">Artículo 1. Objeto. </w:t>
      </w:r>
      <w:r w:rsidRPr="003C4166">
        <w:rPr>
          <w:rFonts w:ascii="Arial" w:hAnsi="Arial" w:cs="Arial"/>
          <w:color w:val="000000" w:themeColor="text1"/>
          <w:sz w:val="22"/>
          <w:szCs w:val="22"/>
        </w:rPr>
        <w:t>La presente ley tiene por objeto proteger el derecho a la intimidad de los consumidores financieros, durante las horas inhábiles, los fines de semana y días festivos, restringiendo los contactos a través de mensajes de texto, mensajes de datos, llamadas telefónicas, correos electrónicos y similares, provenientes de las entidades vigiladas por la Superintendencia Financiera.</w:t>
      </w:r>
    </w:p>
    <w:p w14:paraId="0B5ABB5E" w14:textId="77777777" w:rsidR="008D6DBF" w:rsidRPr="003C4166" w:rsidRDefault="008D6DBF" w:rsidP="008D6DBF">
      <w:pPr>
        <w:jc w:val="both"/>
        <w:rPr>
          <w:rFonts w:ascii="Arial" w:hAnsi="Arial" w:cs="Arial"/>
          <w:color w:val="000000" w:themeColor="text1"/>
        </w:rPr>
      </w:pPr>
      <w:r w:rsidRPr="003C4166">
        <w:rPr>
          <w:rFonts w:ascii="Arial" w:hAnsi="Arial" w:cs="Arial"/>
          <w:b/>
          <w:color w:val="000000" w:themeColor="text1"/>
        </w:rPr>
        <w:t>Artículo 2. Canales autorizados.</w:t>
      </w:r>
      <w:r w:rsidRPr="003C4166">
        <w:rPr>
          <w:rFonts w:ascii="Arial" w:hAnsi="Arial" w:cs="Arial"/>
          <w:color w:val="000000" w:themeColor="text1"/>
        </w:rPr>
        <w:t xml:space="preserve"> Las entidades que ejerzan actividades de cobranza sólo podrán contactar a los consumidores financieros mediante los canales suministrados para tal efecto; los cuales deberán ser informados y socializados previamente con el consumidor financiero. </w:t>
      </w:r>
    </w:p>
    <w:p w14:paraId="32D2B9C0" w14:textId="77777777" w:rsidR="008D6DBF" w:rsidRPr="003C4166" w:rsidRDefault="008D6DBF" w:rsidP="008D6DBF">
      <w:pPr>
        <w:jc w:val="both"/>
        <w:rPr>
          <w:rFonts w:ascii="Arial" w:hAnsi="Arial" w:cs="Arial"/>
          <w:b/>
          <w:color w:val="000000" w:themeColor="text1"/>
        </w:rPr>
      </w:pPr>
      <w:r w:rsidRPr="003C4166">
        <w:rPr>
          <w:rFonts w:ascii="Arial" w:hAnsi="Arial" w:cs="Arial"/>
          <w:b/>
          <w:color w:val="000000" w:themeColor="text1"/>
        </w:rPr>
        <w:lastRenderedPageBreak/>
        <w:t>Artículo 3. Horarios y periodicidad.</w:t>
      </w:r>
      <w:r w:rsidRPr="003C4166">
        <w:rPr>
          <w:rFonts w:ascii="Arial" w:hAnsi="Arial" w:cs="Arial"/>
          <w:color w:val="000000" w:themeColor="text1"/>
        </w:rPr>
        <w:t xml:space="preserve"> Los consumidores financieros no podrán ser contactados por parte de gestores de cobranza mediante varios canales dentro de una misma semana ni en más de una ocasión durante el mismo día.</w:t>
      </w:r>
      <w:r w:rsidRPr="003C4166">
        <w:rPr>
          <w:rFonts w:ascii="Arial" w:hAnsi="Arial" w:cs="Arial"/>
          <w:b/>
          <w:color w:val="000000" w:themeColor="text1"/>
        </w:rPr>
        <w:t xml:space="preserve"> </w:t>
      </w:r>
    </w:p>
    <w:p w14:paraId="592CC1DB" w14:textId="77777777" w:rsidR="008D6DBF" w:rsidRPr="003C4166" w:rsidRDefault="008D6DBF" w:rsidP="008D6DBF">
      <w:pPr>
        <w:jc w:val="both"/>
        <w:rPr>
          <w:rFonts w:ascii="Arial" w:hAnsi="Arial" w:cs="Arial"/>
          <w:color w:val="000000" w:themeColor="text1"/>
        </w:rPr>
      </w:pPr>
      <w:r w:rsidRPr="003C4166">
        <w:rPr>
          <w:rFonts w:ascii="Arial" w:hAnsi="Arial" w:cs="Arial"/>
          <w:color w:val="000000" w:themeColor="text1"/>
        </w:rPr>
        <w:t>Los gestores de cobranza deberán realizar sus prácticas de manera respetuosa y sin afectar la intimidad personal ni familiar del deudor, dentro del horario laboral estándar, esto es, de lunes a viernes y de 8:00 am a 6:00 pm, excluyendo cualquier tipo de contacto con el consumidor los fines de semana y días festivos.</w:t>
      </w:r>
    </w:p>
    <w:p w14:paraId="2515D6DC" w14:textId="77777777" w:rsidR="008D6DBF" w:rsidRPr="003C4166" w:rsidRDefault="008D6DBF" w:rsidP="008D6DBF">
      <w:pPr>
        <w:jc w:val="both"/>
        <w:rPr>
          <w:rFonts w:ascii="Arial" w:hAnsi="Arial" w:cs="Arial"/>
          <w:color w:val="000000" w:themeColor="text1"/>
        </w:rPr>
      </w:pPr>
      <w:r w:rsidRPr="003C4166">
        <w:rPr>
          <w:rFonts w:ascii="Arial" w:hAnsi="Arial" w:cs="Arial"/>
          <w:b/>
          <w:color w:val="000000" w:themeColor="text1"/>
        </w:rPr>
        <w:t>Artículo 4.</w:t>
      </w:r>
      <w:r w:rsidRPr="003C4166">
        <w:rPr>
          <w:rFonts w:ascii="Arial" w:hAnsi="Arial" w:cs="Arial"/>
          <w:color w:val="000000" w:themeColor="text1"/>
        </w:rPr>
        <w:t xml:space="preserve"> En ningún caso, las entidades vigiladas por la Superintendencia Financiera podrán contactar a las referencias personales o de otra índole. Al avalista, codeudor o deudor solidario se le podrá contactar transcurridos 30 días hábiles posteriores a la constitución de la mora. El contacto se hará en las mismas condiciones que establece la presente ley. </w:t>
      </w:r>
    </w:p>
    <w:p w14:paraId="51E089C4" w14:textId="77777777" w:rsidR="008D6DBF" w:rsidRPr="003C4166" w:rsidRDefault="008D6DBF" w:rsidP="008D6DBF">
      <w:pPr>
        <w:jc w:val="both"/>
        <w:rPr>
          <w:rFonts w:ascii="Arial" w:hAnsi="Arial" w:cs="Arial"/>
          <w:color w:val="000000" w:themeColor="text1"/>
        </w:rPr>
      </w:pPr>
      <w:r w:rsidRPr="003C4166">
        <w:rPr>
          <w:rFonts w:ascii="Arial" w:hAnsi="Arial" w:cs="Arial"/>
          <w:b/>
          <w:color w:val="000000" w:themeColor="text1"/>
        </w:rPr>
        <w:t>Parágrafo.</w:t>
      </w:r>
      <w:r w:rsidRPr="003C4166">
        <w:rPr>
          <w:rFonts w:ascii="Arial" w:hAnsi="Arial" w:cs="Arial"/>
          <w:color w:val="000000" w:themeColor="text1"/>
        </w:rPr>
        <w:t xml:space="preserve"> Una vez se inicie cualquier tipo de cobro jurídico hacia el consumidor financiero, se deberá poner fin a las actuaciones de cobranza extrajudicial por parte de la entidad financiera. </w:t>
      </w:r>
    </w:p>
    <w:p w14:paraId="2E1207DC" w14:textId="77777777" w:rsidR="008D6DBF" w:rsidRPr="003C4166" w:rsidRDefault="008D6DBF" w:rsidP="008D6DBF">
      <w:pPr>
        <w:jc w:val="both"/>
        <w:rPr>
          <w:rFonts w:ascii="Arial" w:hAnsi="Arial" w:cs="Arial"/>
          <w:color w:val="000000" w:themeColor="text1"/>
        </w:rPr>
      </w:pPr>
      <w:r w:rsidRPr="003C4166">
        <w:rPr>
          <w:rFonts w:ascii="Arial" w:hAnsi="Arial" w:cs="Arial"/>
          <w:b/>
          <w:color w:val="000000" w:themeColor="text1"/>
        </w:rPr>
        <w:t xml:space="preserve">Artículo 5. </w:t>
      </w:r>
      <w:r w:rsidRPr="003C4166">
        <w:rPr>
          <w:rFonts w:ascii="Arial" w:hAnsi="Arial" w:cs="Arial"/>
          <w:color w:val="000000" w:themeColor="text1"/>
        </w:rPr>
        <w:t xml:space="preserve">Lo dispuesto en la presente ley se aplicará en los mismos términos a las relaciones comerciales entre los productores y/o proveedores de bienes y servicios que estén vigilados por una Superintendencia o sus intermediarios y el consumidor comercial. </w:t>
      </w:r>
    </w:p>
    <w:p w14:paraId="04C44CBB" w14:textId="77777777" w:rsidR="008D6DBF" w:rsidRPr="003C4166" w:rsidRDefault="008D6DBF" w:rsidP="008D6DBF">
      <w:pPr>
        <w:jc w:val="both"/>
        <w:rPr>
          <w:rFonts w:ascii="Arial" w:hAnsi="Arial" w:cs="Arial"/>
          <w:color w:val="000000" w:themeColor="text1"/>
        </w:rPr>
      </w:pPr>
      <w:r w:rsidRPr="003C4166">
        <w:rPr>
          <w:rFonts w:ascii="Arial" w:hAnsi="Arial" w:cs="Arial"/>
          <w:b/>
          <w:color w:val="000000" w:themeColor="text1"/>
        </w:rPr>
        <w:t xml:space="preserve">Artículo 6. </w:t>
      </w:r>
      <w:r w:rsidRPr="003C4166">
        <w:rPr>
          <w:rFonts w:ascii="Arial" w:hAnsi="Arial" w:cs="Arial"/>
          <w:color w:val="000000" w:themeColor="text1"/>
        </w:rPr>
        <w:t>Las entidades vigiladas por la Superintendencia financiera no podrán hacer visitas al domicilio o al lugar de trabajo del consumidor financiero.</w:t>
      </w:r>
    </w:p>
    <w:p w14:paraId="79C0522F" w14:textId="77777777" w:rsidR="008D6DBF" w:rsidRPr="003C4166" w:rsidRDefault="008D6DBF" w:rsidP="008D6DBF">
      <w:pPr>
        <w:jc w:val="both"/>
        <w:rPr>
          <w:rFonts w:ascii="Arial" w:hAnsi="Arial" w:cs="Arial"/>
          <w:color w:val="000000" w:themeColor="text1"/>
        </w:rPr>
      </w:pPr>
      <w:r w:rsidRPr="003C4166">
        <w:rPr>
          <w:rFonts w:ascii="Arial" w:hAnsi="Arial" w:cs="Arial"/>
          <w:b/>
          <w:color w:val="000000" w:themeColor="text1"/>
        </w:rPr>
        <w:t xml:space="preserve">Artículo 7. </w:t>
      </w:r>
      <w:r w:rsidRPr="003C4166">
        <w:rPr>
          <w:rFonts w:ascii="Arial" w:hAnsi="Arial" w:cs="Arial"/>
          <w:color w:val="000000" w:themeColor="text1"/>
        </w:rPr>
        <w:t>Las entidades que adelanten gestiones de cobranza deberán abstenerse de consultar al consumidor financiero el motivo del incumplimiento de la obligación.</w:t>
      </w:r>
    </w:p>
    <w:p w14:paraId="621DD460" w14:textId="77777777" w:rsidR="008D6DBF" w:rsidRPr="003C4166" w:rsidRDefault="008D6DBF" w:rsidP="008D6DBF">
      <w:pPr>
        <w:jc w:val="both"/>
        <w:rPr>
          <w:rFonts w:ascii="Arial" w:hAnsi="Arial" w:cs="Arial"/>
          <w:color w:val="000000" w:themeColor="text1"/>
        </w:rPr>
      </w:pPr>
      <w:r w:rsidRPr="003C4166">
        <w:rPr>
          <w:rFonts w:ascii="Arial" w:hAnsi="Arial" w:cs="Arial"/>
          <w:b/>
          <w:color w:val="000000" w:themeColor="text1"/>
        </w:rPr>
        <w:t>Parágrafo.</w:t>
      </w:r>
      <w:r w:rsidRPr="003C4166">
        <w:rPr>
          <w:rFonts w:ascii="Arial" w:hAnsi="Arial" w:cs="Arial"/>
          <w:color w:val="000000" w:themeColor="text1"/>
        </w:rPr>
        <w:t xml:space="preserve"> Lo dispuesto en este artículo no obsta para que se consulten al deudor alternativas de pago que sean acordes con su situación financiera. </w:t>
      </w:r>
    </w:p>
    <w:p w14:paraId="2D695818" w14:textId="77777777" w:rsidR="008D6DBF" w:rsidRPr="003C4166" w:rsidRDefault="008D6DBF" w:rsidP="008D6DBF">
      <w:pPr>
        <w:jc w:val="both"/>
        <w:rPr>
          <w:rFonts w:ascii="Arial" w:hAnsi="Arial" w:cs="Arial"/>
          <w:color w:val="000000" w:themeColor="text1"/>
        </w:rPr>
      </w:pPr>
      <w:r w:rsidRPr="003C4166">
        <w:rPr>
          <w:rFonts w:ascii="Arial" w:hAnsi="Arial" w:cs="Arial"/>
          <w:b/>
          <w:color w:val="000000" w:themeColor="text1"/>
        </w:rPr>
        <w:t>Artículo 8.</w:t>
      </w:r>
      <w:r w:rsidRPr="003C4166">
        <w:rPr>
          <w:rFonts w:ascii="Arial" w:hAnsi="Arial" w:cs="Arial"/>
          <w:color w:val="000000" w:themeColor="text1"/>
        </w:rPr>
        <w:t xml:space="preserve"> Se exceptúan de las medidas anteriores los contactos que tengan como finalidad informar al consumidor sobre transacciones realizadas, información por él solicitada o generar alertas sobre transacciones fraudulentas, inusuales o sospechosas. </w:t>
      </w:r>
    </w:p>
    <w:p w14:paraId="3D6555CE" w14:textId="77777777" w:rsidR="008D6DBF" w:rsidRPr="003C4166" w:rsidRDefault="008D6DBF" w:rsidP="008D6DBF">
      <w:pPr>
        <w:jc w:val="both"/>
        <w:rPr>
          <w:rFonts w:ascii="Arial" w:hAnsi="Arial" w:cs="Arial"/>
          <w:color w:val="000000" w:themeColor="text1"/>
        </w:rPr>
      </w:pPr>
      <w:r w:rsidRPr="003C4166">
        <w:rPr>
          <w:rFonts w:ascii="Arial" w:hAnsi="Arial" w:cs="Arial"/>
          <w:b/>
          <w:color w:val="000000" w:themeColor="text1"/>
        </w:rPr>
        <w:t>Artículo 9.</w:t>
      </w:r>
      <w:r w:rsidRPr="003C4166">
        <w:rPr>
          <w:rFonts w:ascii="Arial" w:hAnsi="Arial" w:cs="Arial"/>
          <w:color w:val="000000" w:themeColor="text1"/>
        </w:rPr>
        <w:t xml:space="preserve"> El incumplimiento de las medidas de protección de que trata la presente ley, se considerará práctica abusiva en los términos del artículo 12 de la Ley 1328 de 2009, y se sancionará conforme al Capítulo VIII del Título I de la misma y sus normas complementarias.</w:t>
      </w:r>
    </w:p>
    <w:p w14:paraId="73998571" w14:textId="77777777" w:rsidR="008D6DBF" w:rsidRPr="003C4166" w:rsidRDefault="008D6DBF" w:rsidP="008D6DBF">
      <w:pPr>
        <w:jc w:val="both"/>
        <w:rPr>
          <w:rFonts w:ascii="Arial" w:hAnsi="Arial" w:cs="Arial"/>
          <w:color w:val="000000" w:themeColor="text1"/>
        </w:rPr>
      </w:pPr>
      <w:r w:rsidRPr="003C4166">
        <w:rPr>
          <w:rFonts w:ascii="Arial" w:hAnsi="Arial" w:cs="Arial"/>
          <w:b/>
          <w:color w:val="000000" w:themeColor="text1"/>
        </w:rPr>
        <w:t>Artículo 10. Vigencia.</w:t>
      </w:r>
      <w:r w:rsidRPr="003C4166">
        <w:rPr>
          <w:rFonts w:ascii="Arial" w:hAnsi="Arial" w:cs="Arial"/>
          <w:color w:val="000000" w:themeColor="text1"/>
        </w:rPr>
        <w:t xml:space="preserve"> La presente Ley rige a partir de su promulgación y deroga las disposiciones que le sean contrarias.</w:t>
      </w:r>
    </w:p>
    <w:p w14:paraId="7C88FA45" w14:textId="578691E4" w:rsidR="00AC7859" w:rsidRDefault="00AC7859" w:rsidP="00AC7859">
      <w:pPr>
        <w:adjustRightInd w:val="0"/>
        <w:spacing w:after="57" w:line="276" w:lineRule="auto"/>
        <w:contextualSpacing/>
        <w:textAlignment w:val="center"/>
        <w:rPr>
          <w:rFonts w:ascii="Arial" w:eastAsia="Times New Roman" w:hAnsi="Arial" w:cs="Arial"/>
          <w:color w:val="000000" w:themeColor="text1"/>
          <w:lang w:val="es-ES_tradnl" w:eastAsia="es-CO"/>
        </w:rPr>
      </w:pPr>
    </w:p>
    <w:p w14:paraId="2F5FA066" w14:textId="77777777" w:rsidR="00A771B9" w:rsidRDefault="00A771B9" w:rsidP="00AC7859">
      <w:pPr>
        <w:adjustRightInd w:val="0"/>
        <w:spacing w:after="57" w:line="276" w:lineRule="auto"/>
        <w:contextualSpacing/>
        <w:textAlignment w:val="center"/>
        <w:rPr>
          <w:rFonts w:ascii="Arial" w:eastAsia="Times New Roman" w:hAnsi="Arial" w:cs="Arial"/>
          <w:color w:val="000000" w:themeColor="text1"/>
          <w:lang w:val="es-ES_tradnl" w:eastAsia="es-CO"/>
        </w:rPr>
      </w:pPr>
    </w:p>
    <w:p w14:paraId="029932B7" w14:textId="77777777" w:rsidR="00A771B9" w:rsidRDefault="00A771B9" w:rsidP="00AC7859">
      <w:pPr>
        <w:adjustRightInd w:val="0"/>
        <w:spacing w:after="57" w:line="276" w:lineRule="auto"/>
        <w:contextualSpacing/>
        <w:textAlignment w:val="center"/>
        <w:rPr>
          <w:rFonts w:ascii="Arial" w:eastAsia="Times New Roman" w:hAnsi="Arial" w:cs="Arial"/>
          <w:color w:val="000000" w:themeColor="text1"/>
          <w:lang w:val="es-ES_tradnl" w:eastAsia="es-CO"/>
        </w:rPr>
      </w:pPr>
    </w:p>
    <w:p w14:paraId="4A3B38CC" w14:textId="77777777" w:rsidR="00A771B9" w:rsidRPr="003C4166" w:rsidRDefault="00A771B9" w:rsidP="00AC7859">
      <w:pPr>
        <w:adjustRightInd w:val="0"/>
        <w:spacing w:after="57" w:line="276" w:lineRule="auto"/>
        <w:contextualSpacing/>
        <w:textAlignment w:val="center"/>
        <w:rPr>
          <w:rFonts w:ascii="Arial" w:eastAsia="Times New Roman" w:hAnsi="Arial" w:cs="Arial"/>
          <w:color w:val="000000" w:themeColor="text1"/>
          <w:lang w:val="es-ES_tradnl" w:eastAsia="es-CO"/>
        </w:rPr>
      </w:pPr>
    </w:p>
    <w:p w14:paraId="2DF6369B" w14:textId="77777777" w:rsidR="00AC7859" w:rsidRPr="003C4166" w:rsidRDefault="00AC7859" w:rsidP="00AC7859">
      <w:pPr>
        <w:adjustRightInd w:val="0"/>
        <w:spacing w:after="57" w:line="276" w:lineRule="auto"/>
        <w:contextualSpacing/>
        <w:textAlignment w:val="center"/>
        <w:rPr>
          <w:rFonts w:ascii="Arial" w:eastAsia="Times New Roman" w:hAnsi="Arial" w:cs="Arial"/>
          <w:color w:val="000000" w:themeColor="text1"/>
          <w:lang w:eastAsia="es-CO"/>
        </w:rPr>
      </w:pPr>
    </w:p>
    <w:p w14:paraId="684DFE07" w14:textId="1BB97136" w:rsidR="00A771B9" w:rsidRPr="003C4166" w:rsidRDefault="00A771B9" w:rsidP="00A771B9">
      <w:pPr>
        <w:spacing w:after="0" w:line="240" w:lineRule="auto"/>
        <w:jc w:val="both"/>
        <w:rPr>
          <w:rFonts w:ascii="Arial" w:hAnsi="Arial" w:cs="Arial"/>
          <w:b/>
          <w:color w:val="000000" w:themeColor="text1"/>
          <w:lang w:val="es-ES_tradnl"/>
        </w:rPr>
      </w:pPr>
      <w:r w:rsidRPr="003C4166">
        <w:rPr>
          <w:rFonts w:ascii="Arial" w:hAnsi="Arial" w:cs="Arial"/>
          <w:b/>
          <w:color w:val="000000" w:themeColor="text1"/>
          <w:lang w:val="es-ES_tradnl"/>
        </w:rPr>
        <w:t>JUAN CARLOS WILLS OSPINA</w:t>
      </w:r>
      <w:r w:rsidRPr="003C4166">
        <w:rPr>
          <w:rFonts w:ascii="Arial" w:hAnsi="Arial" w:cs="Arial"/>
          <w:b/>
          <w:color w:val="000000" w:themeColor="text1"/>
          <w:lang w:val="es-ES_tradnl"/>
        </w:rPr>
        <w:tab/>
      </w:r>
      <w:r w:rsidRPr="003C4166">
        <w:rPr>
          <w:rFonts w:ascii="Arial" w:hAnsi="Arial" w:cs="Arial"/>
          <w:b/>
          <w:color w:val="000000" w:themeColor="text1"/>
          <w:lang w:val="es-ES_tradnl"/>
        </w:rPr>
        <w:tab/>
      </w:r>
      <w:r>
        <w:rPr>
          <w:rFonts w:ascii="Arial" w:hAnsi="Arial" w:cs="Arial"/>
          <w:b/>
          <w:color w:val="000000" w:themeColor="text1"/>
          <w:lang w:val="es-ES_tradnl"/>
        </w:rPr>
        <w:tab/>
        <w:t>CESAR A</w:t>
      </w:r>
      <w:r w:rsidR="00756437">
        <w:rPr>
          <w:rFonts w:ascii="Arial" w:hAnsi="Arial" w:cs="Arial"/>
          <w:b/>
          <w:color w:val="000000" w:themeColor="text1"/>
          <w:lang w:val="es-ES_tradnl"/>
        </w:rPr>
        <w:t>UGUS</w:t>
      </w:r>
      <w:bookmarkStart w:id="1" w:name="_GoBack"/>
      <w:bookmarkEnd w:id="1"/>
      <w:r>
        <w:rPr>
          <w:rFonts w:ascii="Arial" w:hAnsi="Arial" w:cs="Arial"/>
          <w:b/>
          <w:color w:val="000000" w:themeColor="text1"/>
          <w:lang w:val="es-ES_tradnl"/>
        </w:rPr>
        <w:t>TO LORDUY</w:t>
      </w:r>
    </w:p>
    <w:p w14:paraId="13172EA2" w14:textId="6EFDB0FC" w:rsidR="00A771B9" w:rsidRPr="003C4166" w:rsidRDefault="00A771B9" w:rsidP="00A771B9">
      <w:pPr>
        <w:spacing w:after="0" w:line="240" w:lineRule="auto"/>
        <w:jc w:val="both"/>
        <w:rPr>
          <w:rFonts w:ascii="Arial" w:hAnsi="Arial" w:cs="Arial"/>
          <w:color w:val="000000" w:themeColor="text1"/>
          <w:lang w:val="es-ES_tradnl"/>
        </w:rPr>
      </w:pPr>
      <w:r w:rsidRPr="003C4166">
        <w:rPr>
          <w:rFonts w:ascii="Arial" w:hAnsi="Arial" w:cs="Arial"/>
          <w:color w:val="000000" w:themeColor="text1"/>
          <w:lang w:val="es-ES_tradnl"/>
        </w:rPr>
        <w:t>Representante a la cámara</w:t>
      </w:r>
      <w:r w:rsidRPr="003C4166">
        <w:rPr>
          <w:rFonts w:ascii="Arial" w:hAnsi="Arial" w:cs="Arial"/>
          <w:color w:val="000000" w:themeColor="text1"/>
          <w:lang w:val="es-ES_tradnl"/>
        </w:rPr>
        <w:tab/>
        <w:t xml:space="preserve">                         </w:t>
      </w:r>
      <w:r>
        <w:rPr>
          <w:rFonts w:ascii="Arial" w:hAnsi="Arial" w:cs="Arial"/>
          <w:color w:val="000000" w:themeColor="text1"/>
          <w:lang w:val="es-ES_tradnl"/>
        </w:rPr>
        <w:tab/>
      </w:r>
      <w:r w:rsidRPr="003C4166">
        <w:rPr>
          <w:rFonts w:ascii="Arial" w:hAnsi="Arial" w:cs="Arial"/>
          <w:color w:val="000000" w:themeColor="text1"/>
          <w:lang w:val="es-ES_tradnl"/>
        </w:rPr>
        <w:t>Representante a la cámara</w:t>
      </w:r>
      <w:r w:rsidRPr="003C4166">
        <w:rPr>
          <w:rFonts w:ascii="Arial" w:hAnsi="Arial" w:cs="Arial"/>
          <w:color w:val="000000" w:themeColor="text1"/>
          <w:lang w:val="es-ES_tradnl"/>
        </w:rPr>
        <w:tab/>
        <w:t xml:space="preserve">          </w:t>
      </w:r>
    </w:p>
    <w:p w14:paraId="7B64B964" w14:textId="4102B418" w:rsidR="00A771B9" w:rsidRPr="003C4166" w:rsidRDefault="00A771B9" w:rsidP="00A771B9">
      <w:pPr>
        <w:tabs>
          <w:tab w:val="left" w:pos="708"/>
          <w:tab w:val="left" w:pos="1416"/>
          <w:tab w:val="left" w:pos="2124"/>
          <w:tab w:val="left" w:pos="2832"/>
          <w:tab w:val="left" w:pos="3540"/>
          <w:tab w:val="center" w:pos="4702"/>
        </w:tabs>
        <w:spacing w:after="0" w:line="240" w:lineRule="auto"/>
        <w:jc w:val="both"/>
        <w:rPr>
          <w:rFonts w:ascii="Arial" w:hAnsi="Arial" w:cs="Arial"/>
          <w:color w:val="000000" w:themeColor="text1"/>
          <w:lang w:val="es-ES_tradnl"/>
        </w:rPr>
      </w:pPr>
      <w:r w:rsidRPr="003C4166">
        <w:rPr>
          <w:rFonts w:ascii="Arial" w:hAnsi="Arial" w:cs="Arial"/>
          <w:color w:val="000000" w:themeColor="text1"/>
          <w:lang w:val="es-ES_tradnl"/>
        </w:rPr>
        <w:t>Ponente</w:t>
      </w:r>
      <w:r w:rsidRPr="003C4166">
        <w:rPr>
          <w:rFonts w:ascii="Arial" w:hAnsi="Arial" w:cs="Arial"/>
          <w:color w:val="000000" w:themeColor="text1"/>
          <w:lang w:val="es-ES_tradnl"/>
        </w:rPr>
        <w:tab/>
      </w:r>
      <w:r w:rsidRPr="003C4166">
        <w:rPr>
          <w:rFonts w:ascii="Arial" w:hAnsi="Arial" w:cs="Arial"/>
          <w:color w:val="000000" w:themeColor="text1"/>
          <w:lang w:val="es-ES_tradnl"/>
        </w:rPr>
        <w:tab/>
      </w:r>
      <w:r w:rsidRPr="003C4166">
        <w:rPr>
          <w:rFonts w:ascii="Arial" w:hAnsi="Arial" w:cs="Arial"/>
          <w:color w:val="000000" w:themeColor="text1"/>
          <w:lang w:val="es-ES_tradnl"/>
        </w:rPr>
        <w:tab/>
      </w:r>
      <w:r w:rsidRPr="003C4166">
        <w:rPr>
          <w:rFonts w:ascii="Arial" w:hAnsi="Arial" w:cs="Arial"/>
          <w:color w:val="000000" w:themeColor="text1"/>
          <w:lang w:val="es-ES_tradnl"/>
        </w:rPr>
        <w:tab/>
      </w:r>
      <w:r>
        <w:rPr>
          <w:rFonts w:ascii="Arial" w:hAnsi="Arial" w:cs="Arial"/>
          <w:color w:val="000000" w:themeColor="text1"/>
          <w:lang w:val="es-ES_tradnl"/>
        </w:rPr>
        <w:tab/>
      </w:r>
      <w:r>
        <w:rPr>
          <w:rFonts w:ascii="Arial" w:hAnsi="Arial" w:cs="Arial"/>
          <w:color w:val="000000" w:themeColor="text1"/>
          <w:lang w:val="es-ES_tradnl"/>
        </w:rPr>
        <w:tab/>
      </w:r>
      <w:r w:rsidRPr="003C4166">
        <w:rPr>
          <w:rFonts w:ascii="Arial" w:hAnsi="Arial" w:cs="Arial"/>
          <w:color w:val="000000" w:themeColor="text1"/>
          <w:lang w:val="es-ES_tradnl"/>
        </w:rPr>
        <w:t>Ponente</w:t>
      </w:r>
      <w:r w:rsidRPr="003C4166">
        <w:rPr>
          <w:rFonts w:ascii="Arial" w:hAnsi="Arial" w:cs="Arial"/>
          <w:color w:val="000000" w:themeColor="text1"/>
          <w:lang w:val="es-ES_tradnl"/>
        </w:rPr>
        <w:tab/>
      </w:r>
    </w:p>
    <w:p w14:paraId="20331279" w14:textId="217DB7B7" w:rsidR="008D261D" w:rsidRPr="00A771B9" w:rsidRDefault="00A771B9" w:rsidP="00A771B9">
      <w:pPr>
        <w:spacing w:after="0" w:line="240" w:lineRule="auto"/>
        <w:ind w:left="3540"/>
        <w:jc w:val="both"/>
        <w:rPr>
          <w:rFonts w:ascii="Arial" w:hAnsi="Arial" w:cs="Arial"/>
          <w:b/>
          <w:color w:val="000000" w:themeColor="text1"/>
          <w:lang w:val="es-ES_tradnl"/>
        </w:rPr>
      </w:pPr>
      <w:r w:rsidRPr="003C4166">
        <w:rPr>
          <w:rFonts w:ascii="Arial" w:hAnsi="Arial" w:cs="Arial"/>
          <w:b/>
          <w:color w:val="000000" w:themeColor="text1"/>
          <w:lang w:val="es-ES_tradnl"/>
        </w:rPr>
        <w:tab/>
      </w:r>
      <w:r w:rsidRPr="003C4166">
        <w:rPr>
          <w:rFonts w:ascii="Arial" w:hAnsi="Arial" w:cs="Arial"/>
          <w:b/>
          <w:color w:val="000000" w:themeColor="text1"/>
          <w:lang w:val="es-ES_tradnl"/>
        </w:rPr>
        <w:tab/>
        <w:t xml:space="preserve"> </w:t>
      </w:r>
    </w:p>
    <w:sectPr w:rsidR="008D261D" w:rsidRPr="00A771B9" w:rsidSect="00AA4BCE">
      <w:headerReference w:type="default" r:id="rId17"/>
      <w:footerReference w:type="default" r:id="rId1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027EE" w14:textId="77777777" w:rsidR="002A5B2F" w:rsidRDefault="002A5B2F" w:rsidP="00AC7859">
      <w:pPr>
        <w:spacing w:after="0" w:line="240" w:lineRule="auto"/>
      </w:pPr>
      <w:r>
        <w:separator/>
      </w:r>
    </w:p>
  </w:endnote>
  <w:endnote w:type="continuationSeparator" w:id="0">
    <w:p w14:paraId="65B35FD4" w14:textId="77777777" w:rsidR="002A5B2F" w:rsidRDefault="002A5B2F" w:rsidP="00AC7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AF824" w14:textId="77777777" w:rsidR="009D6F3A" w:rsidRDefault="009D6F3A" w:rsidP="00AA4BCE">
    <w:pPr>
      <w:pStyle w:val="Piedepgina"/>
      <w:jc w:val="center"/>
    </w:pPr>
    <w:r>
      <w:rPr>
        <w:noProof/>
        <w:lang w:eastAsia="es-CO"/>
      </w:rPr>
      <w:drawing>
        <wp:inline distT="0" distB="0" distL="0" distR="0" wp14:anchorId="2191515D" wp14:editId="5EEB1D86">
          <wp:extent cx="1584960" cy="1765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176530"/>
                  </a:xfrm>
                  <a:prstGeom prst="rect">
                    <a:avLst/>
                  </a:prstGeom>
                  <a:noFill/>
                </pic:spPr>
              </pic:pic>
            </a:graphicData>
          </a:graphic>
        </wp:inline>
      </w:drawing>
    </w:r>
  </w:p>
  <w:p w14:paraId="1DFE4589" w14:textId="77777777" w:rsidR="009D6F3A" w:rsidRPr="007601FF" w:rsidRDefault="009D6F3A" w:rsidP="00AA4BCE">
    <w:pPr>
      <w:pStyle w:val="Piedepgina"/>
      <w:jc w:val="center"/>
    </w:pPr>
  </w:p>
  <w:p w14:paraId="3EBE650C" w14:textId="77777777" w:rsidR="009D6F3A" w:rsidRDefault="009D6F3A" w:rsidP="00AA4B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3E5DC" w14:textId="77777777" w:rsidR="002A5B2F" w:rsidRDefault="002A5B2F" w:rsidP="00AC7859">
      <w:pPr>
        <w:spacing w:after="0" w:line="240" w:lineRule="auto"/>
      </w:pPr>
      <w:r>
        <w:separator/>
      </w:r>
    </w:p>
  </w:footnote>
  <w:footnote w:type="continuationSeparator" w:id="0">
    <w:p w14:paraId="0C16EBF1" w14:textId="77777777" w:rsidR="002A5B2F" w:rsidRDefault="002A5B2F" w:rsidP="00AC7859">
      <w:pPr>
        <w:spacing w:after="0" w:line="240" w:lineRule="auto"/>
      </w:pPr>
      <w:r>
        <w:continuationSeparator/>
      </w:r>
    </w:p>
  </w:footnote>
  <w:footnote w:id="1">
    <w:p w14:paraId="56BB3002" w14:textId="77777777" w:rsidR="00700E8E" w:rsidRPr="001555CF" w:rsidRDefault="00700E8E" w:rsidP="00700E8E">
      <w:pPr>
        <w:pStyle w:val="Textonotapie"/>
        <w:rPr>
          <w:lang w:val="es-ES"/>
        </w:rPr>
      </w:pPr>
      <w:r>
        <w:rPr>
          <w:rStyle w:val="Refdenotaalpie"/>
        </w:rPr>
        <w:footnoteRef/>
      </w:r>
      <w:r>
        <w:t xml:space="preserve"> Corte Constitucional. </w:t>
      </w:r>
      <w:r>
        <w:rPr>
          <w:lang w:val="es-ES"/>
        </w:rPr>
        <w:t>Sentencia C-640 de 2010</w:t>
      </w:r>
    </w:p>
  </w:footnote>
  <w:footnote w:id="2">
    <w:p w14:paraId="39F172B4" w14:textId="77777777" w:rsidR="00700E8E" w:rsidRPr="00020EF5" w:rsidRDefault="00700E8E" w:rsidP="00700E8E">
      <w:pPr>
        <w:pStyle w:val="Textonotapie"/>
        <w:rPr>
          <w:lang w:val="es-ES"/>
        </w:rPr>
      </w:pPr>
      <w:r>
        <w:rPr>
          <w:rStyle w:val="Refdenotaalpie"/>
        </w:rPr>
        <w:footnoteRef/>
      </w:r>
      <w:r>
        <w:t xml:space="preserve"> </w:t>
      </w:r>
      <w:r>
        <w:rPr>
          <w:lang w:val="es-ES"/>
        </w:rPr>
        <w:t>Corte Constitucional. Sentencia C-223 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1D693" w14:textId="77777777" w:rsidR="009D6F3A" w:rsidRDefault="009D6F3A" w:rsidP="00AA4BCE">
    <w:pPr>
      <w:pStyle w:val="Encabezado"/>
      <w:tabs>
        <w:tab w:val="clear" w:pos="4419"/>
        <w:tab w:val="clear" w:pos="8838"/>
        <w:tab w:val="left" w:pos="2430"/>
      </w:tabs>
      <w:jc w:val="center"/>
    </w:pPr>
    <w:r>
      <w:rPr>
        <w:noProof/>
        <w:lang w:eastAsia="es-CO"/>
      </w:rPr>
      <w:drawing>
        <wp:anchor distT="0" distB="0" distL="0" distR="0" simplePos="0" relativeHeight="251659264" behindDoc="1" locked="0" layoutInCell="1" allowOverlap="1" wp14:anchorId="4B0EA3F2" wp14:editId="0BB45E46">
          <wp:simplePos x="0" y="0"/>
          <wp:positionH relativeFrom="page">
            <wp:posOffset>2559685</wp:posOffset>
          </wp:positionH>
          <wp:positionV relativeFrom="page">
            <wp:posOffset>271145</wp:posOffset>
          </wp:positionV>
          <wp:extent cx="2728666" cy="570368"/>
          <wp:effectExtent l="0" t="0" r="0" b="0"/>
          <wp:wrapNone/>
          <wp:docPr id="5"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8666" cy="570368"/>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3782C"/>
    <w:multiLevelType w:val="hybridMultilevel"/>
    <w:tmpl w:val="E6F6FF3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7200DFD"/>
    <w:multiLevelType w:val="hybridMultilevel"/>
    <w:tmpl w:val="C8A2839E"/>
    <w:lvl w:ilvl="0" w:tplc="CCA462B4">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BB67AE1"/>
    <w:multiLevelType w:val="hybridMultilevel"/>
    <w:tmpl w:val="4A5CFF1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0D4A0518"/>
    <w:multiLevelType w:val="hybridMultilevel"/>
    <w:tmpl w:val="C80E74CA"/>
    <w:lvl w:ilvl="0" w:tplc="061E1122">
      <w:start w:val="1"/>
      <w:numFmt w:val="bullet"/>
      <w:lvlText w:val="-"/>
      <w:lvlJc w:val="left"/>
      <w:pPr>
        <w:ind w:left="1080" w:hanging="360"/>
      </w:pPr>
      <w:rPr>
        <w:rFonts w:ascii="Arial" w:eastAsia="Arial" w:hAnsi="Arial" w:cs="Aria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nsid w:val="10A243ED"/>
    <w:multiLevelType w:val="hybridMultilevel"/>
    <w:tmpl w:val="7EE0DCFC"/>
    <w:lvl w:ilvl="0" w:tplc="D602889E">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nsid w:val="263D348E"/>
    <w:multiLevelType w:val="multilevel"/>
    <w:tmpl w:val="D304C8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74C4E18"/>
    <w:multiLevelType w:val="multilevel"/>
    <w:tmpl w:val="46A6CF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7B20C37"/>
    <w:multiLevelType w:val="hybridMultilevel"/>
    <w:tmpl w:val="DD3869B2"/>
    <w:lvl w:ilvl="0" w:tplc="E8D6E2BC">
      <w:start w:val="1"/>
      <w:numFmt w:val="decimal"/>
      <w:lvlText w:val="%1."/>
      <w:lvlJc w:val="left"/>
      <w:pPr>
        <w:ind w:left="720" w:hanging="360"/>
      </w:pPr>
      <w:rPr>
        <w:rFonts w:eastAsia="Arial" w:cs="Arial"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36E94C6B"/>
    <w:multiLevelType w:val="multilevel"/>
    <w:tmpl w:val="F6E0B0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6724A91"/>
    <w:multiLevelType w:val="multilevel"/>
    <w:tmpl w:val="C226AFC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51250CC"/>
    <w:multiLevelType w:val="hybridMultilevel"/>
    <w:tmpl w:val="2618B0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71916DB"/>
    <w:multiLevelType w:val="hybridMultilevel"/>
    <w:tmpl w:val="C5165A7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5D1C3D96"/>
    <w:multiLevelType w:val="multilevel"/>
    <w:tmpl w:val="EA0EC67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5E7D1B5A"/>
    <w:multiLevelType w:val="multilevel"/>
    <w:tmpl w:val="E864DDEA"/>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4">
    <w:nsid w:val="6DAD49D1"/>
    <w:multiLevelType w:val="hybridMultilevel"/>
    <w:tmpl w:val="BB42635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6FC8203F"/>
    <w:multiLevelType w:val="hybridMultilevel"/>
    <w:tmpl w:val="7C9872E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6">
    <w:nsid w:val="71E70465"/>
    <w:multiLevelType w:val="hybridMultilevel"/>
    <w:tmpl w:val="C5165A7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79C02011"/>
    <w:multiLevelType w:val="multilevel"/>
    <w:tmpl w:val="A39E7B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7A893359"/>
    <w:multiLevelType w:val="multilevel"/>
    <w:tmpl w:val="3D901A1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2"/>
  </w:num>
  <w:num w:numId="3">
    <w:abstractNumId w:val="3"/>
  </w:num>
  <w:num w:numId="4">
    <w:abstractNumId w:val="10"/>
  </w:num>
  <w:num w:numId="5">
    <w:abstractNumId w:val="15"/>
  </w:num>
  <w:num w:numId="6">
    <w:abstractNumId w:val="4"/>
  </w:num>
  <w:num w:numId="7">
    <w:abstractNumId w:val="7"/>
  </w:num>
  <w:num w:numId="8">
    <w:abstractNumId w:val="0"/>
  </w:num>
  <w:num w:numId="9">
    <w:abstractNumId w:val="11"/>
  </w:num>
  <w:num w:numId="10">
    <w:abstractNumId w:val="16"/>
  </w:num>
  <w:num w:numId="11">
    <w:abstractNumId w:val="1"/>
  </w:num>
  <w:num w:numId="12">
    <w:abstractNumId w:val="2"/>
  </w:num>
  <w:num w:numId="13">
    <w:abstractNumId w:val="8"/>
  </w:num>
  <w:num w:numId="14">
    <w:abstractNumId w:val="18"/>
  </w:num>
  <w:num w:numId="15">
    <w:abstractNumId w:val="5"/>
  </w:num>
  <w:num w:numId="16">
    <w:abstractNumId w:val="17"/>
  </w:num>
  <w:num w:numId="17">
    <w:abstractNumId w:val="14"/>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859"/>
    <w:rsid w:val="00001A19"/>
    <w:rsid w:val="00012B62"/>
    <w:rsid w:val="000354FB"/>
    <w:rsid w:val="00074256"/>
    <w:rsid w:val="000B31B4"/>
    <w:rsid w:val="000D4DB2"/>
    <w:rsid w:val="0014177F"/>
    <w:rsid w:val="001D7A0A"/>
    <w:rsid w:val="00204B10"/>
    <w:rsid w:val="00217003"/>
    <w:rsid w:val="00245F35"/>
    <w:rsid w:val="002530BF"/>
    <w:rsid w:val="002744B0"/>
    <w:rsid w:val="002A5B2F"/>
    <w:rsid w:val="002D1147"/>
    <w:rsid w:val="00374EEC"/>
    <w:rsid w:val="00375339"/>
    <w:rsid w:val="003A4F7A"/>
    <w:rsid w:val="003C4166"/>
    <w:rsid w:val="00475244"/>
    <w:rsid w:val="00503E2B"/>
    <w:rsid w:val="00543715"/>
    <w:rsid w:val="005A1DE2"/>
    <w:rsid w:val="005B6D43"/>
    <w:rsid w:val="005D5426"/>
    <w:rsid w:val="005F2F03"/>
    <w:rsid w:val="005F6815"/>
    <w:rsid w:val="005F795E"/>
    <w:rsid w:val="006009E0"/>
    <w:rsid w:val="006068A3"/>
    <w:rsid w:val="006725F9"/>
    <w:rsid w:val="00684C13"/>
    <w:rsid w:val="006C461B"/>
    <w:rsid w:val="006E38C4"/>
    <w:rsid w:val="00700E8E"/>
    <w:rsid w:val="00756437"/>
    <w:rsid w:val="00763A08"/>
    <w:rsid w:val="007B7C1E"/>
    <w:rsid w:val="007F17F3"/>
    <w:rsid w:val="007F5401"/>
    <w:rsid w:val="00856832"/>
    <w:rsid w:val="008A395F"/>
    <w:rsid w:val="008C1557"/>
    <w:rsid w:val="008D261D"/>
    <w:rsid w:val="008D6DBF"/>
    <w:rsid w:val="0097437B"/>
    <w:rsid w:val="009B6968"/>
    <w:rsid w:val="009D6F3A"/>
    <w:rsid w:val="009E571D"/>
    <w:rsid w:val="009F07EA"/>
    <w:rsid w:val="00A771B9"/>
    <w:rsid w:val="00A90B3D"/>
    <w:rsid w:val="00A9250D"/>
    <w:rsid w:val="00AA4BCE"/>
    <w:rsid w:val="00AC7859"/>
    <w:rsid w:val="00B2528D"/>
    <w:rsid w:val="00B31BDB"/>
    <w:rsid w:val="00B439E1"/>
    <w:rsid w:val="00B45FA7"/>
    <w:rsid w:val="00B50C40"/>
    <w:rsid w:val="00B55166"/>
    <w:rsid w:val="00B62DE5"/>
    <w:rsid w:val="00B66052"/>
    <w:rsid w:val="00BC53B0"/>
    <w:rsid w:val="00C10A21"/>
    <w:rsid w:val="00C34DA8"/>
    <w:rsid w:val="00CC5075"/>
    <w:rsid w:val="00D00AD9"/>
    <w:rsid w:val="00D276BE"/>
    <w:rsid w:val="00DD0364"/>
    <w:rsid w:val="00DF25B9"/>
    <w:rsid w:val="00DF6BC1"/>
    <w:rsid w:val="00E91571"/>
    <w:rsid w:val="00EA1F9C"/>
    <w:rsid w:val="00EE0578"/>
    <w:rsid w:val="00EF0E2B"/>
    <w:rsid w:val="00F11808"/>
    <w:rsid w:val="00F3531A"/>
    <w:rsid w:val="00F37100"/>
    <w:rsid w:val="00F755C9"/>
    <w:rsid w:val="00F85C68"/>
    <w:rsid w:val="00F96B46"/>
    <w:rsid w:val="00FB091B"/>
    <w:rsid w:val="00FC7B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12411"/>
  <w15:chartTrackingRefBased/>
  <w15:docId w15:val="{FFC69E19-6473-4AE6-98D4-9A37CF2F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8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78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859"/>
  </w:style>
  <w:style w:type="paragraph" w:styleId="Piedepgina">
    <w:name w:val="footer"/>
    <w:basedOn w:val="Normal"/>
    <w:link w:val="PiedepginaCar"/>
    <w:uiPriority w:val="99"/>
    <w:unhideWhenUsed/>
    <w:rsid w:val="00AC78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859"/>
  </w:style>
  <w:style w:type="paragraph" w:styleId="Sinespaciado">
    <w:name w:val="No Spacing"/>
    <w:uiPriority w:val="1"/>
    <w:qFormat/>
    <w:rsid w:val="00AC7859"/>
    <w:pPr>
      <w:spacing w:after="0" w:line="240" w:lineRule="auto"/>
    </w:pPr>
  </w:style>
  <w:style w:type="paragraph" w:styleId="Prrafodelista">
    <w:name w:val="List Paragraph"/>
    <w:basedOn w:val="Normal"/>
    <w:uiPriority w:val="34"/>
    <w:qFormat/>
    <w:rsid w:val="00AC7859"/>
    <w:pPr>
      <w:widowControl w:val="0"/>
      <w:autoSpaceDE w:val="0"/>
      <w:autoSpaceDN w:val="0"/>
      <w:spacing w:after="0" w:line="240" w:lineRule="auto"/>
      <w:ind w:left="1181" w:hanging="360"/>
    </w:pPr>
    <w:rPr>
      <w:rFonts w:ascii="Arial" w:eastAsia="Arial" w:hAnsi="Arial" w:cs="Arial"/>
      <w:lang w:val="es-ES" w:eastAsia="es-ES" w:bidi="es-ES"/>
    </w:rPr>
  </w:style>
  <w:style w:type="character" w:styleId="Hipervnculo">
    <w:name w:val="Hyperlink"/>
    <w:basedOn w:val="Fuentedeprrafopredeter"/>
    <w:uiPriority w:val="99"/>
    <w:unhideWhenUsed/>
    <w:rsid w:val="00AC7859"/>
    <w:rPr>
      <w:color w:val="0563C1" w:themeColor="hyperlink"/>
      <w:u w:val="single"/>
    </w:rPr>
  </w:style>
  <w:style w:type="table" w:styleId="Tablaconcuadrcula">
    <w:name w:val="Table Grid"/>
    <w:basedOn w:val="Tablanormal"/>
    <w:uiPriority w:val="39"/>
    <w:rsid w:val="00AC7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C785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2744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44B0"/>
    <w:rPr>
      <w:rFonts w:ascii="Segoe UI" w:hAnsi="Segoe UI" w:cs="Segoe UI"/>
      <w:sz w:val="18"/>
      <w:szCs w:val="18"/>
    </w:rPr>
  </w:style>
  <w:style w:type="character" w:customStyle="1" w:styleId="apple-converted-space">
    <w:name w:val="apple-converted-space"/>
    <w:basedOn w:val="Fuentedeprrafopredeter"/>
    <w:rsid w:val="00B2528D"/>
  </w:style>
  <w:style w:type="character" w:styleId="Refdenotaalpie">
    <w:name w:val="footnote reference"/>
    <w:basedOn w:val="Fuentedeprrafopredeter"/>
    <w:uiPriority w:val="99"/>
    <w:unhideWhenUsed/>
    <w:rsid w:val="00B62DE5"/>
  </w:style>
  <w:style w:type="paragraph" w:styleId="Textonotapie">
    <w:name w:val="footnote text"/>
    <w:basedOn w:val="Normal"/>
    <w:link w:val="TextonotapieCar"/>
    <w:uiPriority w:val="99"/>
    <w:unhideWhenUsed/>
    <w:rsid w:val="00B62DE5"/>
    <w:pPr>
      <w:spacing w:after="0" w:line="240" w:lineRule="auto"/>
    </w:pPr>
    <w:rPr>
      <w:sz w:val="20"/>
      <w:szCs w:val="20"/>
    </w:rPr>
  </w:style>
  <w:style w:type="character" w:customStyle="1" w:styleId="TextonotapieCar">
    <w:name w:val="Texto nota pie Car"/>
    <w:basedOn w:val="Fuentedeprrafopredeter"/>
    <w:link w:val="Textonotapie"/>
    <w:uiPriority w:val="99"/>
    <w:rsid w:val="00B62DE5"/>
    <w:rPr>
      <w:sz w:val="20"/>
      <w:szCs w:val="20"/>
    </w:rPr>
  </w:style>
  <w:style w:type="paragraph" w:styleId="Textoindependiente">
    <w:name w:val="Body Text"/>
    <w:basedOn w:val="Normal"/>
    <w:link w:val="TextoindependienteCar"/>
    <w:uiPriority w:val="1"/>
    <w:qFormat/>
    <w:rsid w:val="00AA4BCE"/>
    <w:pPr>
      <w:widowControl w:val="0"/>
      <w:autoSpaceDE w:val="0"/>
      <w:autoSpaceDN w:val="0"/>
      <w:spacing w:after="0" w:line="240" w:lineRule="auto"/>
    </w:pPr>
    <w:rPr>
      <w:rFonts w:ascii="Arial" w:eastAsia="Arial" w:hAnsi="Arial" w:cs="Arial"/>
      <w:sz w:val="25"/>
      <w:szCs w:val="25"/>
      <w:lang w:val="es-ES" w:eastAsia="es-ES" w:bidi="es-ES"/>
    </w:rPr>
  </w:style>
  <w:style w:type="character" w:customStyle="1" w:styleId="TextoindependienteCar">
    <w:name w:val="Texto independiente Car"/>
    <w:basedOn w:val="Fuentedeprrafopredeter"/>
    <w:link w:val="Textoindependiente"/>
    <w:uiPriority w:val="1"/>
    <w:rsid w:val="00AA4BCE"/>
    <w:rPr>
      <w:rFonts w:ascii="Arial" w:eastAsia="Arial" w:hAnsi="Arial" w:cs="Arial"/>
      <w:sz w:val="25"/>
      <w:szCs w:val="25"/>
      <w:lang w:val="es-ES" w:eastAsia="es-ES" w:bidi="es-ES"/>
    </w:rPr>
  </w:style>
  <w:style w:type="paragraph" w:customStyle="1" w:styleId="Default">
    <w:name w:val="Default"/>
    <w:rsid w:val="00700E8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558007">
      <w:bodyDiv w:val="1"/>
      <w:marLeft w:val="0"/>
      <w:marRight w:val="0"/>
      <w:marTop w:val="0"/>
      <w:marBottom w:val="0"/>
      <w:divBdr>
        <w:top w:val="none" w:sz="0" w:space="0" w:color="auto"/>
        <w:left w:val="none" w:sz="0" w:space="0" w:color="auto"/>
        <w:bottom w:val="none" w:sz="0" w:space="0" w:color="auto"/>
        <w:right w:val="none" w:sz="0" w:space="0" w:color="auto"/>
      </w:divBdr>
    </w:div>
    <w:div w:id="171129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vlex.com/" TargetMode="External"/><Relationship Id="rId13" Type="http://schemas.openxmlformats.org/officeDocument/2006/relationships/hyperlink" Target="https://app.vlex.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vlex.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uncionpublica.gov.co/eva/gestornormativo/norma.php?i=1136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vlex.com/" TargetMode="External"/><Relationship Id="rId5" Type="http://schemas.openxmlformats.org/officeDocument/2006/relationships/webSettings" Target="webSettings.xml"/><Relationship Id="rId15" Type="http://schemas.openxmlformats.org/officeDocument/2006/relationships/hyperlink" Target="https://app.vlex.com/" TargetMode="External"/><Relationship Id="rId10" Type="http://schemas.openxmlformats.org/officeDocument/2006/relationships/hyperlink" Target="https://app.vlex.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pp.vlex.com/" TargetMode="External"/><Relationship Id="rId14" Type="http://schemas.openxmlformats.org/officeDocument/2006/relationships/hyperlink" Target="https://app.vlex.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4F424-9798-4455-8691-5DBCED1F4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4336</Words>
  <Characters>23851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Garcia Brito.HR Maria Cristina Soto De Gomez</dc:creator>
  <cp:keywords/>
  <dc:description/>
  <cp:lastModifiedBy>Juan Camilo Aguilar Ramires</cp:lastModifiedBy>
  <cp:revision>4</cp:revision>
  <cp:lastPrinted>2021-11-24T23:32:00Z</cp:lastPrinted>
  <dcterms:created xsi:type="dcterms:W3CDTF">2021-11-24T23:15:00Z</dcterms:created>
  <dcterms:modified xsi:type="dcterms:W3CDTF">2021-11-24T23:52:00Z</dcterms:modified>
</cp:coreProperties>
</file>